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FCDCA" w14:textId="77777777" w:rsidR="004D7A42" w:rsidRPr="00136C97" w:rsidRDefault="004D7A42" w:rsidP="00136C97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136C97">
        <w:rPr>
          <w:rFonts w:ascii="Arial" w:hAnsi="Arial" w:cs="Arial"/>
          <w:color w:val="000000" w:themeColor="text1"/>
          <w:lang w:val="es-ES"/>
        </w:rPr>
        <w:t xml:space="preserve">BB-MUE-004 - Descongelamiento, manipulación, </w:t>
      </w:r>
      <w:proofErr w:type="spellStart"/>
      <w:r w:rsidRPr="00136C97">
        <w:rPr>
          <w:rFonts w:ascii="Arial" w:hAnsi="Arial" w:cs="Arial"/>
          <w:color w:val="000000" w:themeColor="text1"/>
          <w:lang w:val="es-ES"/>
        </w:rPr>
        <w:t>alicuotado</w:t>
      </w:r>
      <w:proofErr w:type="spellEnd"/>
      <w:r w:rsidRPr="00136C97">
        <w:rPr>
          <w:rFonts w:ascii="Arial" w:hAnsi="Arial" w:cs="Arial"/>
          <w:color w:val="000000" w:themeColor="text1"/>
          <w:lang w:val="es-ES"/>
        </w:rPr>
        <w:t xml:space="preserve"> y </w:t>
      </w:r>
      <w:proofErr w:type="spellStart"/>
      <w:r w:rsidRPr="00136C97">
        <w:rPr>
          <w:rFonts w:ascii="Arial" w:hAnsi="Arial" w:cs="Arial"/>
          <w:color w:val="000000" w:themeColor="text1"/>
          <w:lang w:val="es-ES"/>
        </w:rPr>
        <w:t>recongelamiento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2285"/>
        <w:gridCol w:w="2104"/>
        <w:gridCol w:w="2205"/>
      </w:tblGrid>
      <w:tr w:rsidR="004D7A42" w:rsidRPr="00136C97" w14:paraId="1F941963" w14:textId="77777777" w:rsidTr="004B5C2E">
        <w:trPr>
          <w:jc w:val="center"/>
        </w:trPr>
        <w:tc>
          <w:tcPr>
            <w:tcW w:w="2234" w:type="dxa"/>
            <w:shd w:val="clear" w:color="auto" w:fill="D9EAF7"/>
            <w:vAlign w:val="center"/>
          </w:tcPr>
          <w:p w14:paraId="2A367FDF" w14:textId="77777777" w:rsidR="004D7A42" w:rsidRPr="00136C97" w:rsidRDefault="004D7A42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285" w:type="dxa"/>
            <w:vAlign w:val="center"/>
          </w:tcPr>
          <w:p w14:paraId="07D45E6A" w14:textId="77777777" w:rsidR="004D7A42" w:rsidRPr="00136C97" w:rsidRDefault="004D7A42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BB-MUE-004</w:t>
            </w:r>
          </w:p>
        </w:tc>
        <w:tc>
          <w:tcPr>
            <w:tcW w:w="2104" w:type="dxa"/>
            <w:shd w:val="clear" w:color="auto" w:fill="D9EAF7"/>
            <w:vAlign w:val="center"/>
          </w:tcPr>
          <w:p w14:paraId="7936B829" w14:textId="77777777" w:rsidR="004D7A42" w:rsidRPr="00136C97" w:rsidRDefault="004D7A42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05" w:type="dxa"/>
            <w:vAlign w:val="center"/>
          </w:tcPr>
          <w:p w14:paraId="4343EAD1" w14:textId="77777777" w:rsidR="004D7A42" w:rsidRPr="00136C97" w:rsidRDefault="004D7A42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4D7A42" w:rsidRPr="00136C97" w14:paraId="5DB72CE8" w14:textId="77777777" w:rsidTr="004B5C2E">
        <w:trPr>
          <w:jc w:val="center"/>
        </w:trPr>
        <w:tc>
          <w:tcPr>
            <w:tcW w:w="2234" w:type="dxa"/>
            <w:shd w:val="clear" w:color="auto" w:fill="D9EAF7"/>
            <w:vAlign w:val="center"/>
          </w:tcPr>
          <w:p w14:paraId="0F9EAD0E" w14:textId="77777777" w:rsidR="004D7A42" w:rsidRPr="00136C97" w:rsidRDefault="004D7A42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285" w:type="dxa"/>
            <w:vAlign w:val="center"/>
          </w:tcPr>
          <w:p w14:paraId="5561AD81" w14:textId="77777777" w:rsidR="004D7A42" w:rsidRPr="00136C97" w:rsidRDefault="004D7A42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 xml:space="preserve">Descongelamiento, manipulación, </w:t>
            </w:r>
            <w:proofErr w:type="spellStart"/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alicuotado</w:t>
            </w:r>
            <w:proofErr w:type="spellEnd"/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 xml:space="preserve"> y </w:t>
            </w:r>
            <w:proofErr w:type="spellStart"/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recongelamiento</w:t>
            </w:r>
            <w:proofErr w:type="spellEnd"/>
          </w:p>
        </w:tc>
        <w:tc>
          <w:tcPr>
            <w:tcW w:w="2104" w:type="dxa"/>
            <w:shd w:val="clear" w:color="auto" w:fill="D9EAF7"/>
            <w:vAlign w:val="center"/>
          </w:tcPr>
          <w:p w14:paraId="1F4A0947" w14:textId="77777777" w:rsidR="004D7A42" w:rsidRPr="00136C97" w:rsidRDefault="004D7A42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05" w:type="dxa"/>
            <w:vAlign w:val="center"/>
          </w:tcPr>
          <w:p w14:paraId="7652B358" w14:textId="77777777" w:rsidR="004D7A42" w:rsidRPr="00136C97" w:rsidRDefault="004D7A42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4B5C2E" w:rsidRPr="00136C97" w14:paraId="19AC8A8F" w14:textId="77777777" w:rsidTr="004B5C2E">
        <w:trPr>
          <w:jc w:val="center"/>
        </w:trPr>
        <w:tc>
          <w:tcPr>
            <w:tcW w:w="2234" w:type="dxa"/>
            <w:shd w:val="clear" w:color="auto" w:fill="D9EAF7"/>
            <w:vAlign w:val="center"/>
          </w:tcPr>
          <w:p w14:paraId="5742965F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285" w:type="dxa"/>
            <w:vAlign w:val="center"/>
          </w:tcPr>
          <w:p w14:paraId="308FAF67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04" w:type="dxa"/>
            <w:shd w:val="clear" w:color="auto" w:fill="D9EAF7"/>
            <w:vAlign w:val="center"/>
          </w:tcPr>
          <w:p w14:paraId="1348C3AF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05" w:type="dxa"/>
            <w:vAlign w:val="center"/>
          </w:tcPr>
          <w:p w14:paraId="6987CC11" w14:textId="243AD231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4B5C2E" w:rsidRPr="00136C97" w14:paraId="71CD0E1D" w14:textId="77777777" w:rsidTr="004B5C2E">
        <w:trPr>
          <w:jc w:val="center"/>
        </w:trPr>
        <w:tc>
          <w:tcPr>
            <w:tcW w:w="2234" w:type="dxa"/>
            <w:shd w:val="clear" w:color="auto" w:fill="D9EAF7"/>
            <w:vAlign w:val="center"/>
          </w:tcPr>
          <w:p w14:paraId="0B4C5663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285" w:type="dxa"/>
            <w:vAlign w:val="center"/>
          </w:tcPr>
          <w:p w14:paraId="0A9ABD8E" w14:textId="06363830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04" w:type="dxa"/>
            <w:shd w:val="clear" w:color="auto" w:fill="D9EAF7"/>
            <w:vAlign w:val="center"/>
          </w:tcPr>
          <w:p w14:paraId="6D669CCB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05" w:type="dxa"/>
            <w:vAlign w:val="center"/>
          </w:tcPr>
          <w:p w14:paraId="1499F808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4B5C2E" w:rsidRPr="00136C97" w14:paraId="6F725015" w14:textId="77777777" w:rsidTr="004B5C2E">
        <w:trPr>
          <w:jc w:val="center"/>
        </w:trPr>
        <w:tc>
          <w:tcPr>
            <w:tcW w:w="2234" w:type="dxa"/>
            <w:shd w:val="clear" w:color="auto" w:fill="D9EAF7"/>
            <w:vAlign w:val="center"/>
          </w:tcPr>
          <w:p w14:paraId="62A36C1D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285" w:type="dxa"/>
            <w:vAlign w:val="center"/>
          </w:tcPr>
          <w:p w14:paraId="32777EDC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04" w:type="dxa"/>
            <w:shd w:val="clear" w:color="auto" w:fill="D9EAF7"/>
            <w:vAlign w:val="center"/>
          </w:tcPr>
          <w:p w14:paraId="2D4A8E19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05" w:type="dxa"/>
            <w:vAlign w:val="center"/>
          </w:tcPr>
          <w:p w14:paraId="203A1632" w14:textId="77777777" w:rsidR="004B5C2E" w:rsidRPr="00136C97" w:rsidRDefault="004B5C2E" w:rsidP="00136C97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36C97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0F772041" w14:textId="77777777" w:rsidR="004D7A42" w:rsidRPr="00136C97" w:rsidRDefault="004D7A42" w:rsidP="00136C97">
      <w:pPr>
        <w:jc w:val="both"/>
        <w:rPr>
          <w:rFonts w:cs="Arial"/>
          <w:color w:val="000000" w:themeColor="text1"/>
          <w:lang w:val="es-ES"/>
        </w:rPr>
      </w:pPr>
    </w:p>
    <w:p w14:paraId="681D235F" w14:textId="77777777" w:rsidR="004D7A42" w:rsidRPr="00136C97" w:rsidRDefault="004D7A42" w:rsidP="00136C97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36C97">
        <w:rPr>
          <w:rFonts w:ascii="Arial" w:hAnsi="Arial" w:cs="Arial"/>
          <w:color w:val="000000" w:themeColor="text1"/>
          <w:lang w:val="es-ES"/>
        </w:rPr>
        <w:t>Propósito</w:t>
      </w:r>
    </w:p>
    <w:p w14:paraId="40E2D179" w14:textId="7D25EA36" w:rsidR="004D7A42" w:rsidRPr="00136C97" w:rsidRDefault="004D7A42" w:rsidP="00136C97">
      <w:pPr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Controlar </w:t>
      </w:r>
      <w:r w:rsidR="00136C97">
        <w:rPr>
          <w:rFonts w:cs="Arial"/>
          <w:color w:val="000000" w:themeColor="text1"/>
          <w:lang w:val="es-ES"/>
        </w:rPr>
        <w:t xml:space="preserve">las </w:t>
      </w:r>
      <w:r w:rsidRPr="00136C97">
        <w:rPr>
          <w:rFonts w:cs="Arial"/>
          <w:color w:val="000000" w:themeColor="text1"/>
          <w:lang w:val="es-ES"/>
        </w:rPr>
        <w:t>exposiciones térmicas y</w:t>
      </w:r>
      <w:r w:rsidR="00136C97">
        <w:rPr>
          <w:rFonts w:cs="Arial"/>
          <w:color w:val="000000" w:themeColor="text1"/>
          <w:lang w:val="es-ES"/>
        </w:rPr>
        <w:t xml:space="preserve"> los</w:t>
      </w:r>
      <w:r w:rsidRPr="00136C97">
        <w:rPr>
          <w:rFonts w:cs="Arial"/>
          <w:color w:val="000000" w:themeColor="text1"/>
          <w:lang w:val="es-ES"/>
        </w:rPr>
        <w:t xml:space="preserve"> ciclos de congelación-descongelación.</w:t>
      </w:r>
    </w:p>
    <w:p w14:paraId="588AE041" w14:textId="77777777" w:rsidR="004D7A42" w:rsidRPr="00136C97" w:rsidRDefault="004D7A42" w:rsidP="00136C97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36C97">
        <w:rPr>
          <w:rFonts w:ascii="Arial" w:hAnsi="Arial" w:cs="Arial"/>
          <w:color w:val="000000" w:themeColor="text1"/>
          <w:lang w:val="es-ES"/>
        </w:rPr>
        <w:t>Alcance</w:t>
      </w:r>
    </w:p>
    <w:p w14:paraId="62C9FA86" w14:textId="2A238ED3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Muestras que deban manipularse </w:t>
      </w:r>
      <w:r w:rsidR="00136C97">
        <w:rPr>
          <w:rFonts w:cs="Arial"/>
          <w:color w:val="000000" w:themeColor="text1"/>
          <w:lang w:val="es-ES"/>
        </w:rPr>
        <w:t>tras</w:t>
      </w:r>
      <w:r w:rsidRPr="00136C97">
        <w:rPr>
          <w:rFonts w:cs="Arial"/>
          <w:color w:val="000000" w:themeColor="text1"/>
          <w:lang w:val="es-ES"/>
        </w:rPr>
        <w:t xml:space="preserve"> su ingreso.</w:t>
      </w:r>
    </w:p>
    <w:p w14:paraId="799CC982" w14:textId="77777777" w:rsidR="004D7A42" w:rsidRPr="00136C97" w:rsidRDefault="004D7A42" w:rsidP="00136C97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36C97">
        <w:rPr>
          <w:rFonts w:ascii="Arial" w:hAnsi="Arial" w:cs="Arial"/>
          <w:color w:val="000000" w:themeColor="text1"/>
          <w:lang w:val="es-ES"/>
        </w:rPr>
        <w:t>Responsabilidades</w:t>
      </w:r>
    </w:p>
    <w:p w14:paraId="0EEB7079" w14:textId="53A08D7A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Técnico o personal habilitado según </w:t>
      </w:r>
      <w:r w:rsidR="00136C97">
        <w:rPr>
          <w:rFonts w:cs="Arial"/>
          <w:color w:val="000000" w:themeColor="text1"/>
          <w:lang w:val="es-ES"/>
        </w:rPr>
        <w:t xml:space="preserve">el </w:t>
      </w:r>
      <w:r w:rsidRPr="00136C97">
        <w:rPr>
          <w:rFonts w:cs="Arial"/>
          <w:color w:val="000000" w:themeColor="text1"/>
          <w:lang w:val="es-ES"/>
        </w:rPr>
        <w:t>protocolo.</w:t>
      </w:r>
    </w:p>
    <w:p w14:paraId="7946892D" w14:textId="77777777" w:rsidR="004D7A42" w:rsidRPr="00136C97" w:rsidRDefault="004D7A42" w:rsidP="00136C97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36C97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22097E88" w14:textId="77777777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>No descongelar una muestra sin autorización de uso.</w:t>
      </w:r>
    </w:p>
    <w:p w14:paraId="6147F28F" w14:textId="283735C6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Registrar ciclos cuando sean relevantes para </w:t>
      </w:r>
      <w:r w:rsidR="00136C97">
        <w:rPr>
          <w:rFonts w:cs="Arial"/>
          <w:color w:val="000000" w:themeColor="text1"/>
          <w:lang w:val="es-ES"/>
        </w:rPr>
        <w:t xml:space="preserve">la </w:t>
      </w:r>
      <w:r w:rsidRPr="00136C97">
        <w:rPr>
          <w:rFonts w:cs="Arial"/>
          <w:color w:val="000000" w:themeColor="text1"/>
          <w:lang w:val="es-ES"/>
        </w:rPr>
        <w:t>calidad.</w:t>
      </w:r>
    </w:p>
    <w:p w14:paraId="203138E9" w14:textId="681B50CF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Para </w:t>
      </w:r>
      <w:r w:rsidR="00136C97">
        <w:rPr>
          <w:rFonts w:cs="Arial"/>
          <w:color w:val="000000" w:themeColor="text1"/>
          <w:lang w:val="es-ES"/>
        </w:rPr>
        <w:t xml:space="preserve">la </w:t>
      </w:r>
      <w:r w:rsidRPr="00136C97">
        <w:rPr>
          <w:rFonts w:cs="Arial"/>
          <w:color w:val="000000" w:themeColor="text1"/>
          <w:lang w:val="es-ES"/>
        </w:rPr>
        <w:t>industria</w:t>
      </w:r>
      <w:r w:rsidR="00136C97">
        <w:rPr>
          <w:rFonts w:cs="Arial"/>
          <w:color w:val="000000" w:themeColor="text1"/>
          <w:lang w:val="es-ES"/>
        </w:rPr>
        <w:t>,</w:t>
      </w:r>
      <w:r w:rsidRPr="00136C97">
        <w:rPr>
          <w:rFonts w:cs="Arial"/>
          <w:color w:val="000000" w:themeColor="text1"/>
          <w:lang w:val="es-ES"/>
        </w:rPr>
        <w:t xml:space="preserve"> prevalecen</w:t>
      </w:r>
      <w:r w:rsidR="00136C97">
        <w:rPr>
          <w:rFonts w:cs="Arial"/>
          <w:color w:val="000000" w:themeColor="text1"/>
          <w:lang w:val="es-ES"/>
        </w:rPr>
        <w:t xml:space="preserve"> las</w:t>
      </w:r>
      <w:r w:rsidRPr="00136C97">
        <w:rPr>
          <w:rFonts w:cs="Arial"/>
          <w:color w:val="000000" w:themeColor="text1"/>
          <w:lang w:val="es-ES"/>
        </w:rPr>
        <w:t xml:space="preserve"> instrucciones del protocolo</w:t>
      </w:r>
      <w:r w:rsidR="00136C97">
        <w:rPr>
          <w:rFonts w:cs="Arial"/>
          <w:color w:val="000000" w:themeColor="text1"/>
          <w:lang w:val="es-ES"/>
        </w:rPr>
        <w:t xml:space="preserve"> o del </w:t>
      </w:r>
      <w:r w:rsidRPr="00136C97">
        <w:rPr>
          <w:rFonts w:cs="Arial"/>
          <w:color w:val="000000" w:themeColor="text1"/>
          <w:lang w:val="es-ES"/>
        </w:rPr>
        <w:t>manual de laboratorio.</w:t>
      </w:r>
    </w:p>
    <w:p w14:paraId="1B60F7C5" w14:textId="77777777" w:rsidR="004D7A42" w:rsidRPr="00136C97" w:rsidRDefault="004D7A42" w:rsidP="00136C97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36C97">
        <w:rPr>
          <w:rFonts w:ascii="Arial" w:hAnsi="Arial" w:cs="Arial"/>
          <w:color w:val="000000" w:themeColor="text1"/>
          <w:lang w:val="es-ES"/>
        </w:rPr>
        <w:t>Procedimiento</w:t>
      </w:r>
    </w:p>
    <w:p w14:paraId="720E1216" w14:textId="19822D5F" w:rsidR="004D7A42" w:rsidRPr="00136C97" w:rsidRDefault="004D7A42" w:rsidP="00136C97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1. Planificar </w:t>
      </w:r>
      <w:r w:rsidR="00136C97">
        <w:rPr>
          <w:rFonts w:cs="Arial"/>
          <w:color w:val="000000" w:themeColor="text1"/>
          <w:lang w:val="es-ES"/>
        </w:rPr>
        <w:t xml:space="preserve">el </w:t>
      </w:r>
      <w:r w:rsidRPr="00136C97">
        <w:rPr>
          <w:rFonts w:cs="Arial"/>
          <w:color w:val="000000" w:themeColor="text1"/>
          <w:lang w:val="es-ES"/>
        </w:rPr>
        <w:t>volumen y</w:t>
      </w:r>
      <w:r w:rsidR="00136C97">
        <w:rPr>
          <w:rFonts w:cs="Arial"/>
          <w:color w:val="000000" w:themeColor="text1"/>
          <w:lang w:val="es-ES"/>
        </w:rPr>
        <w:t xml:space="preserve"> las</w:t>
      </w:r>
      <w:r w:rsidRPr="00136C97">
        <w:rPr>
          <w:rFonts w:cs="Arial"/>
          <w:color w:val="000000" w:themeColor="text1"/>
          <w:lang w:val="es-ES"/>
        </w:rPr>
        <w:t xml:space="preserve"> alícuotas antes de retirar la muestra.</w:t>
      </w:r>
    </w:p>
    <w:p w14:paraId="20D8C7CF" w14:textId="30019B22" w:rsidR="004D7A42" w:rsidRPr="00136C97" w:rsidRDefault="004D7A42" w:rsidP="00136C97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2. Registrar </w:t>
      </w:r>
      <w:r w:rsidR="00136C97">
        <w:rPr>
          <w:rFonts w:cs="Arial"/>
          <w:color w:val="000000" w:themeColor="text1"/>
          <w:lang w:val="es-ES"/>
        </w:rPr>
        <w:t xml:space="preserve">la </w:t>
      </w:r>
      <w:r w:rsidRPr="00136C97">
        <w:rPr>
          <w:rFonts w:cs="Arial"/>
          <w:color w:val="000000" w:themeColor="text1"/>
          <w:lang w:val="es-ES"/>
        </w:rPr>
        <w:t>hora de salida y</w:t>
      </w:r>
      <w:r w:rsidR="00136C97">
        <w:rPr>
          <w:rFonts w:cs="Arial"/>
          <w:color w:val="000000" w:themeColor="text1"/>
          <w:lang w:val="es-ES"/>
        </w:rPr>
        <w:t xml:space="preserve"> de</w:t>
      </w:r>
      <w:r w:rsidRPr="00136C97">
        <w:rPr>
          <w:rFonts w:cs="Arial"/>
          <w:color w:val="000000" w:themeColor="text1"/>
          <w:lang w:val="es-ES"/>
        </w:rPr>
        <w:t xml:space="preserve"> retorno cuando sea relevante.</w:t>
      </w:r>
    </w:p>
    <w:p w14:paraId="377626BE" w14:textId="77777777" w:rsidR="004D7A42" w:rsidRPr="00136C97" w:rsidRDefault="004D7A42" w:rsidP="00136C97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>3. Manipular en condiciones apropiadas al tipo de muestra.</w:t>
      </w:r>
    </w:p>
    <w:p w14:paraId="4AB918FF" w14:textId="77777777" w:rsidR="004D7A42" w:rsidRPr="00136C97" w:rsidRDefault="004D7A42" w:rsidP="00136C97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>4. Generar nuevas alícuotas con vínculo a la muestra madre.</w:t>
      </w:r>
    </w:p>
    <w:p w14:paraId="3A00BD89" w14:textId="6898C424" w:rsidR="004D7A42" w:rsidRPr="00136C97" w:rsidRDefault="004D7A42" w:rsidP="00136C97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5. Registrar </w:t>
      </w:r>
      <w:r w:rsidR="00136C97">
        <w:rPr>
          <w:rFonts w:cs="Arial"/>
          <w:color w:val="000000" w:themeColor="text1"/>
          <w:lang w:val="es-ES"/>
        </w:rPr>
        <w:t xml:space="preserve">la </w:t>
      </w:r>
      <w:r w:rsidRPr="00136C97">
        <w:rPr>
          <w:rFonts w:cs="Arial"/>
          <w:color w:val="000000" w:themeColor="text1"/>
          <w:lang w:val="es-ES"/>
        </w:rPr>
        <w:t>condición final y</w:t>
      </w:r>
      <w:r w:rsidR="00136C97">
        <w:rPr>
          <w:rFonts w:cs="Arial"/>
          <w:color w:val="000000" w:themeColor="text1"/>
          <w:lang w:val="es-ES"/>
        </w:rPr>
        <w:t xml:space="preserve"> los</w:t>
      </w:r>
      <w:r w:rsidRPr="00136C97">
        <w:rPr>
          <w:rFonts w:cs="Arial"/>
          <w:color w:val="000000" w:themeColor="text1"/>
          <w:lang w:val="es-ES"/>
        </w:rPr>
        <w:t xml:space="preserve"> ciclos de congelación/descongelación.</w:t>
      </w:r>
    </w:p>
    <w:p w14:paraId="497414E0" w14:textId="77777777" w:rsidR="004D7A42" w:rsidRPr="00136C97" w:rsidRDefault="004D7A42" w:rsidP="00136C97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36C97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0551A2A1" w14:textId="77777777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>Registro de derivados/alícuotas.</w:t>
      </w:r>
    </w:p>
    <w:p w14:paraId="27D8B861" w14:textId="77777777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>Ciclos de congelación/descongelación.</w:t>
      </w:r>
    </w:p>
    <w:p w14:paraId="40263C6D" w14:textId="77777777" w:rsidR="004D7A42" w:rsidRPr="00136C97" w:rsidRDefault="004D7A42" w:rsidP="00136C97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36C97">
        <w:rPr>
          <w:rFonts w:ascii="Arial" w:hAnsi="Arial" w:cs="Arial"/>
          <w:color w:val="000000" w:themeColor="text1"/>
          <w:lang w:val="es-ES"/>
        </w:rPr>
        <w:lastRenderedPageBreak/>
        <w:t>Indicadores y control</w:t>
      </w:r>
    </w:p>
    <w:p w14:paraId="15E8FD9D" w14:textId="3C7CDF9E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Muestras con </w:t>
      </w:r>
      <w:r w:rsidR="00136C97">
        <w:rPr>
          <w:rFonts w:cs="Arial"/>
          <w:color w:val="000000" w:themeColor="text1"/>
          <w:lang w:val="es-ES"/>
        </w:rPr>
        <w:t xml:space="preserve">el </w:t>
      </w:r>
      <w:r w:rsidRPr="00136C97">
        <w:rPr>
          <w:rFonts w:cs="Arial"/>
          <w:color w:val="000000" w:themeColor="text1"/>
          <w:lang w:val="es-ES"/>
        </w:rPr>
        <w:t xml:space="preserve">número de ciclos documentado cuando </w:t>
      </w:r>
      <w:r w:rsidR="00136C97">
        <w:rPr>
          <w:rFonts w:cs="Arial"/>
          <w:color w:val="000000" w:themeColor="text1"/>
          <w:lang w:val="es-ES"/>
        </w:rPr>
        <w:t>correspond</w:t>
      </w:r>
      <w:r w:rsidRPr="00136C97">
        <w:rPr>
          <w:rFonts w:cs="Arial"/>
          <w:color w:val="000000" w:themeColor="text1"/>
          <w:lang w:val="es-ES"/>
        </w:rPr>
        <w:t>a.</w:t>
      </w:r>
    </w:p>
    <w:p w14:paraId="2656259C" w14:textId="77777777" w:rsidR="004D7A42" w:rsidRPr="00136C97" w:rsidRDefault="004D7A42" w:rsidP="00136C97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36C97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51EDA6A4" w14:textId="193F3DF4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Resolución </w:t>
      </w:r>
      <w:r w:rsidR="00136C97">
        <w:rPr>
          <w:rFonts w:cs="Arial"/>
          <w:color w:val="000000" w:themeColor="text1"/>
          <w:lang w:val="es-ES"/>
        </w:rPr>
        <w:t xml:space="preserve">del </w:t>
      </w:r>
      <w:r w:rsidRPr="00136C97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251EBAAB" w14:textId="1F5A4D3A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Resolución </w:t>
      </w:r>
      <w:r w:rsidR="00136C97">
        <w:rPr>
          <w:rFonts w:cs="Arial"/>
          <w:color w:val="000000" w:themeColor="text1"/>
          <w:lang w:val="es-ES"/>
        </w:rPr>
        <w:t xml:space="preserve">del </w:t>
      </w:r>
      <w:r w:rsidRPr="00136C97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26EC0AD7" w14:textId="77777777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>Ley 25.326 - Protección de los Datos Personales.</w:t>
      </w:r>
    </w:p>
    <w:p w14:paraId="48688FFB" w14:textId="6AEA1CB7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Ley 26.529 y </w:t>
      </w:r>
      <w:r w:rsidR="00136C97">
        <w:rPr>
          <w:rFonts w:cs="Arial"/>
          <w:color w:val="000000" w:themeColor="text1"/>
          <w:lang w:val="es-ES"/>
        </w:rPr>
        <w:t xml:space="preserve">su </w:t>
      </w:r>
      <w:r w:rsidRPr="00136C97">
        <w:rPr>
          <w:rFonts w:cs="Arial"/>
          <w:color w:val="000000" w:themeColor="text1"/>
          <w:lang w:val="es-ES"/>
        </w:rPr>
        <w:t>modificatoria</w:t>
      </w:r>
      <w:r w:rsidR="00136C97">
        <w:rPr>
          <w:rFonts w:cs="Arial"/>
          <w:color w:val="000000" w:themeColor="text1"/>
          <w:lang w:val="es-ES"/>
        </w:rPr>
        <w:t>,</w:t>
      </w:r>
      <w:r w:rsidRPr="00136C97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6E685AA9" w14:textId="77777777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346AF45D" w14:textId="12B3B0C9" w:rsidR="004D7A4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Ley </w:t>
      </w:r>
      <w:r w:rsidR="00136C97">
        <w:rPr>
          <w:rFonts w:cs="Arial"/>
          <w:color w:val="000000" w:themeColor="text1"/>
          <w:lang w:val="es-ES"/>
        </w:rPr>
        <w:t xml:space="preserve">de la </w:t>
      </w:r>
      <w:r w:rsidRPr="00136C97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4D54D470" w14:textId="0CE56F7C" w:rsidR="00C740E2" w:rsidRPr="00136C97" w:rsidRDefault="004D7A42" w:rsidP="00136C97">
      <w:pPr>
        <w:pStyle w:val="Listaconvietas"/>
        <w:tabs>
          <w:tab w:val="num" w:pos="360"/>
        </w:tabs>
        <w:ind w:left="360" w:hanging="360"/>
        <w:jc w:val="both"/>
        <w:rPr>
          <w:lang w:val="es-ES"/>
        </w:rPr>
      </w:pPr>
      <w:r w:rsidRPr="00136C97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136C97">
        <w:rPr>
          <w:rFonts w:cs="Arial"/>
          <w:color w:val="000000" w:themeColor="text1"/>
          <w:lang w:val="es-ES"/>
        </w:rPr>
        <w:t>Practices</w:t>
      </w:r>
      <w:proofErr w:type="spellEnd"/>
      <w:r w:rsidRPr="00136C97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136C97">
        <w:rPr>
          <w:rFonts w:cs="Arial"/>
          <w:color w:val="000000" w:themeColor="text1"/>
          <w:lang w:val="es-ES"/>
        </w:rPr>
        <w:t xml:space="preserve">la </w:t>
      </w:r>
      <w:r w:rsidRPr="00136C97">
        <w:rPr>
          <w:rFonts w:cs="Arial"/>
          <w:color w:val="000000" w:themeColor="text1"/>
          <w:lang w:val="es-ES"/>
        </w:rPr>
        <w:t>normativa aplicable).</w:t>
      </w:r>
    </w:p>
    <w:sectPr w:rsidR="00C740E2" w:rsidRPr="00136C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E200BE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42"/>
    <w:rsid w:val="0012748E"/>
    <w:rsid w:val="00136C97"/>
    <w:rsid w:val="001517D0"/>
    <w:rsid w:val="002A0105"/>
    <w:rsid w:val="003040C5"/>
    <w:rsid w:val="004B5C2E"/>
    <w:rsid w:val="004D7A42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913D20"/>
  <w15:chartTrackingRefBased/>
  <w15:docId w15:val="{C338AE57-3438-8E41-900C-DB0B6893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A42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D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A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A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A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A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A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A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A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A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A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A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A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A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A42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4D7A42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4D7A42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4D7A42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326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2026-09-04T15:16:00Z</dcterms:created>
  <dcterms:modified xsi:type="dcterms:W3CDTF">2026-09-04T20:28:00Z</dcterms:modified>
</cp:coreProperties>
</file>