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3BAC20" w14:textId="77777777" w:rsidR="0051197C" w:rsidRPr="00BF7641" w:rsidRDefault="0051197C" w:rsidP="00BF7641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BB-MUE-005 - Retiro, distribución, derivación y envío de muestras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171"/>
        <w:gridCol w:w="2151"/>
        <w:gridCol w:w="2241"/>
      </w:tblGrid>
      <w:tr w:rsidR="0051197C" w:rsidRPr="00BF7641" w14:paraId="2F00000E" w14:textId="77777777" w:rsidTr="001C0E74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54472489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71" w:type="dxa"/>
            <w:vAlign w:val="center"/>
          </w:tcPr>
          <w:p w14:paraId="48517E9A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BB-MUE-005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7972A3D2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1" w:type="dxa"/>
            <w:vAlign w:val="center"/>
          </w:tcPr>
          <w:p w14:paraId="3E03B33D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51197C" w:rsidRPr="00BF7641" w14:paraId="1FAF562F" w14:textId="77777777" w:rsidTr="001C0E74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2E0EEB35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71" w:type="dxa"/>
            <w:vAlign w:val="center"/>
          </w:tcPr>
          <w:p w14:paraId="0D622D18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Retiro, distribución, derivación y envío de muestras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0A68A739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1" w:type="dxa"/>
            <w:vAlign w:val="center"/>
          </w:tcPr>
          <w:p w14:paraId="6BE3DD57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1C0E74" w:rsidRPr="00BF7641" w14:paraId="0527656F" w14:textId="77777777" w:rsidTr="001C0E74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2489FB0E" w14:textId="77777777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71" w:type="dxa"/>
            <w:vAlign w:val="center"/>
          </w:tcPr>
          <w:p w14:paraId="5C71017B" w14:textId="77777777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7652AAC4" w14:textId="77777777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1" w:type="dxa"/>
            <w:vAlign w:val="center"/>
          </w:tcPr>
          <w:p w14:paraId="5C6E0E4C" w14:textId="3A5042BA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1C0E74" w:rsidRPr="00BF7641" w14:paraId="4F156417" w14:textId="77777777" w:rsidTr="001C0E74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536B1569" w14:textId="77777777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71" w:type="dxa"/>
            <w:vAlign w:val="center"/>
          </w:tcPr>
          <w:p w14:paraId="4E213EED" w14:textId="2D54640E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6C77E582" w14:textId="77777777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1" w:type="dxa"/>
            <w:vAlign w:val="center"/>
          </w:tcPr>
          <w:p w14:paraId="4EAC9D25" w14:textId="77777777" w:rsidR="001C0E74" w:rsidRPr="00BF7641" w:rsidRDefault="001C0E74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51197C" w:rsidRPr="00BF7641" w14:paraId="1B3EDAAF" w14:textId="77777777" w:rsidTr="001C0E74">
        <w:trPr>
          <w:jc w:val="center"/>
        </w:trPr>
        <w:tc>
          <w:tcPr>
            <w:tcW w:w="2265" w:type="dxa"/>
            <w:shd w:val="clear" w:color="auto" w:fill="D9EAF7"/>
            <w:vAlign w:val="center"/>
          </w:tcPr>
          <w:p w14:paraId="02ADA36C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71" w:type="dxa"/>
            <w:vAlign w:val="center"/>
          </w:tcPr>
          <w:p w14:paraId="5A630A46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51" w:type="dxa"/>
            <w:shd w:val="clear" w:color="auto" w:fill="D9EAF7"/>
            <w:vAlign w:val="center"/>
          </w:tcPr>
          <w:p w14:paraId="248E076F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1" w:type="dxa"/>
            <w:vAlign w:val="center"/>
          </w:tcPr>
          <w:p w14:paraId="77BFFC4C" w14:textId="77777777" w:rsidR="0051197C" w:rsidRPr="00BF7641" w:rsidRDefault="0051197C" w:rsidP="00BF7641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F7641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55834C7" w14:textId="77777777" w:rsidR="0051197C" w:rsidRPr="00BF7641" w:rsidRDefault="0051197C" w:rsidP="00BF7641">
      <w:pPr>
        <w:jc w:val="both"/>
        <w:rPr>
          <w:rFonts w:cs="Arial"/>
          <w:color w:val="000000" w:themeColor="text1"/>
          <w:lang w:val="es-ES"/>
        </w:rPr>
      </w:pPr>
    </w:p>
    <w:p w14:paraId="33EDA1E4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Propósito</w:t>
      </w:r>
    </w:p>
    <w:p w14:paraId="3E687B60" w14:textId="1A8842E9" w:rsidR="0051197C" w:rsidRPr="00BF7641" w:rsidRDefault="0051197C" w:rsidP="00BF7641">
      <w:pPr>
        <w:jc w:val="both"/>
        <w:rPr>
          <w:rFonts w:cs="Arial"/>
          <w:color w:val="000000" w:themeColor="text1"/>
          <w:lang w:val="es-ES"/>
        </w:rPr>
      </w:pPr>
      <w:proofErr w:type="gramStart"/>
      <w:r w:rsidRPr="00BF7641">
        <w:rPr>
          <w:rFonts w:cs="Arial"/>
          <w:color w:val="000000" w:themeColor="text1"/>
          <w:lang w:val="es-ES"/>
        </w:rPr>
        <w:t>Asegurar</w:t>
      </w:r>
      <w:proofErr w:type="gramEnd"/>
      <w:r w:rsidRPr="00BF7641">
        <w:rPr>
          <w:rFonts w:cs="Arial"/>
          <w:color w:val="000000" w:themeColor="text1"/>
          <w:lang w:val="es-ES"/>
        </w:rPr>
        <w:t xml:space="preserve"> que toda salida </w:t>
      </w:r>
      <w:r w:rsidR="00BF7641">
        <w:rPr>
          <w:rFonts w:cs="Arial"/>
          <w:color w:val="000000" w:themeColor="text1"/>
          <w:lang w:val="es-ES"/>
        </w:rPr>
        <w:t>esté</w:t>
      </w:r>
      <w:r w:rsidRPr="00BF7641">
        <w:rPr>
          <w:rFonts w:cs="Arial"/>
          <w:color w:val="000000" w:themeColor="text1"/>
          <w:lang w:val="es-ES"/>
        </w:rPr>
        <w:t xml:space="preserve"> autorizada, trazable y compatible con </w:t>
      </w:r>
      <w:r w:rsidR="00BF7641">
        <w:rPr>
          <w:rFonts w:cs="Arial"/>
          <w:color w:val="000000" w:themeColor="text1"/>
          <w:lang w:val="es-ES"/>
        </w:rPr>
        <w:t xml:space="preserve">el </w:t>
      </w:r>
      <w:r w:rsidRPr="00BF7641">
        <w:rPr>
          <w:rFonts w:cs="Arial"/>
          <w:color w:val="000000" w:themeColor="text1"/>
          <w:lang w:val="es-ES"/>
        </w:rPr>
        <w:t xml:space="preserve">consentimiento,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>aprobación ética y</w:t>
      </w:r>
      <w:r w:rsidR="00BF7641">
        <w:rPr>
          <w:rFonts w:cs="Arial"/>
          <w:color w:val="000000" w:themeColor="text1"/>
          <w:lang w:val="es-ES"/>
        </w:rPr>
        <w:t xml:space="preserve"> las</w:t>
      </w:r>
      <w:r w:rsidRPr="00BF7641">
        <w:rPr>
          <w:rFonts w:cs="Arial"/>
          <w:color w:val="000000" w:themeColor="text1"/>
          <w:lang w:val="es-ES"/>
        </w:rPr>
        <w:t xml:space="preserve"> condiciones de transporte.</w:t>
      </w:r>
    </w:p>
    <w:p w14:paraId="4951D9A8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Alcance</w:t>
      </w:r>
    </w:p>
    <w:p w14:paraId="6417DC51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Retiros internos, derivaciones nacionales e internacionales.</w:t>
      </w:r>
    </w:p>
    <w:p w14:paraId="026C0AE9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Responsabilidades</w:t>
      </w:r>
    </w:p>
    <w:p w14:paraId="05EB4D50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Director: autoriza cesión/derivación cuando corresponda.</w:t>
      </w:r>
    </w:p>
    <w:p w14:paraId="2F01A02D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Técnico: prepara, registra y entrega.</w:t>
      </w:r>
    </w:p>
    <w:p w14:paraId="6C6AABF7" w14:textId="236E1CD6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Usuario: gestiona </w:t>
      </w:r>
      <w:r w:rsidR="00BF7641">
        <w:rPr>
          <w:rFonts w:cs="Arial"/>
          <w:color w:val="000000" w:themeColor="text1"/>
          <w:lang w:val="es-ES"/>
        </w:rPr>
        <w:t xml:space="preserve">los </w:t>
      </w:r>
      <w:r w:rsidRPr="00BF7641">
        <w:rPr>
          <w:rFonts w:cs="Arial"/>
          <w:color w:val="000000" w:themeColor="text1"/>
          <w:lang w:val="es-ES"/>
        </w:rPr>
        <w:t>requisitos del destino cuando corresponda.</w:t>
      </w:r>
    </w:p>
    <w:p w14:paraId="5354222F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5DB03DDD" w14:textId="2051FC09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Toda salida se vincula a </w:t>
      </w:r>
      <w:r w:rsidR="00BF7641">
        <w:rPr>
          <w:rFonts w:cs="Arial"/>
          <w:color w:val="000000" w:themeColor="text1"/>
          <w:lang w:val="es-ES"/>
        </w:rPr>
        <w:t xml:space="preserve">una solicitud o </w:t>
      </w:r>
      <w:r w:rsidRPr="00BF7641">
        <w:rPr>
          <w:rFonts w:cs="Arial"/>
          <w:color w:val="000000" w:themeColor="text1"/>
          <w:lang w:val="es-ES"/>
        </w:rPr>
        <w:t>protocolo aprobado.</w:t>
      </w:r>
    </w:p>
    <w:p w14:paraId="4D422A7D" w14:textId="28F0029C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Para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>cesión de biobanco se utilizará</w:t>
      </w:r>
      <w:r w:rsidR="00BF7641">
        <w:rPr>
          <w:rFonts w:cs="Arial"/>
          <w:color w:val="000000" w:themeColor="text1"/>
          <w:lang w:val="es-ES"/>
        </w:rPr>
        <w:t xml:space="preserve"> el</w:t>
      </w:r>
      <w:r w:rsidRPr="00BF7641">
        <w:rPr>
          <w:rFonts w:cs="Arial"/>
          <w:color w:val="000000" w:themeColor="text1"/>
          <w:lang w:val="es-ES"/>
        </w:rPr>
        <w:t xml:space="preserve"> acuerdo de transferencia de material/datos cuando corresponda.</w:t>
      </w:r>
    </w:p>
    <w:p w14:paraId="7E64EA21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Procedimiento</w:t>
      </w:r>
    </w:p>
    <w:p w14:paraId="0076E356" w14:textId="0F2BD992" w:rsidR="0051197C" w:rsidRPr="00BF7641" w:rsidRDefault="0051197C" w:rsidP="00BF7641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1. Verificar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>autorización,</w:t>
      </w:r>
      <w:r w:rsidR="00BF7641">
        <w:rPr>
          <w:rFonts w:cs="Arial"/>
          <w:color w:val="000000" w:themeColor="text1"/>
          <w:lang w:val="es-ES"/>
        </w:rPr>
        <w:t xml:space="preserve"> el</w:t>
      </w:r>
      <w:r w:rsidRPr="00BF7641">
        <w:rPr>
          <w:rFonts w:cs="Arial"/>
          <w:color w:val="000000" w:themeColor="text1"/>
          <w:lang w:val="es-ES"/>
        </w:rPr>
        <w:t xml:space="preserve"> consentimiento y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>aprobación ética aplicable</w:t>
      </w:r>
      <w:r w:rsidR="00BF7641">
        <w:rPr>
          <w:rFonts w:cs="Arial"/>
          <w:color w:val="000000" w:themeColor="text1"/>
          <w:lang w:val="es-ES"/>
        </w:rPr>
        <w:t>s</w:t>
      </w:r>
      <w:r w:rsidRPr="00BF7641">
        <w:rPr>
          <w:rFonts w:cs="Arial"/>
          <w:color w:val="000000" w:themeColor="text1"/>
          <w:lang w:val="es-ES"/>
        </w:rPr>
        <w:t>.</w:t>
      </w:r>
    </w:p>
    <w:p w14:paraId="6BFC0A92" w14:textId="2376F57E" w:rsidR="0051197C" w:rsidRPr="00BF7641" w:rsidRDefault="0051197C" w:rsidP="00BF7641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2. Seleccionar </w:t>
      </w:r>
      <w:r w:rsidR="00BF7641">
        <w:rPr>
          <w:rFonts w:cs="Arial"/>
          <w:color w:val="000000" w:themeColor="text1"/>
          <w:lang w:val="es-ES"/>
        </w:rPr>
        <w:t xml:space="preserve">las </w:t>
      </w:r>
      <w:r w:rsidRPr="00BF7641">
        <w:rPr>
          <w:rFonts w:cs="Arial"/>
          <w:color w:val="000000" w:themeColor="text1"/>
          <w:lang w:val="es-ES"/>
        </w:rPr>
        <w:t xml:space="preserve">muestras y registrar </w:t>
      </w:r>
      <w:r w:rsidR="00BF7641">
        <w:rPr>
          <w:rFonts w:cs="Arial"/>
          <w:color w:val="000000" w:themeColor="text1"/>
          <w:lang w:val="es-ES"/>
        </w:rPr>
        <w:t xml:space="preserve">el </w:t>
      </w:r>
      <w:r w:rsidRPr="00BF7641">
        <w:rPr>
          <w:rFonts w:cs="Arial"/>
          <w:color w:val="000000" w:themeColor="text1"/>
          <w:lang w:val="es-ES"/>
        </w:rPr>
        <w:t>estado previo.</w:t>
      </w:r>
    </w:p>
    <w:p w14:paraId="3F2E62F3" w14:textId="5B99EB44" w:rsidR="0051197C" w:rsidRPr="00BF7641" w:rsidRDefault="0051197C" w:rsidP="00BF7641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3. Preparar embalaje y documentación conforme a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>clasificación de transporte.</w:t>
      </w:r>
    </w:p>
    <w:p w14:paraId="7196D679" w14:textId="6051EADD" w:rsidR="0051197C" w:rsidRPr="00BF7641" w:rsidRDefault="0051197C" w:rsidP="00BF7641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4. Registrar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 xml:space="preserve">cadena de custodia y </w:t>
      </w:r>
      <w:r w:rsidR="00BF7641">
        <w:rPr>
          <w:rFonts w:cs="Arial"/>
          <w:color w:val="000000" w:themeColor="text1"/>
          <w:lang w:val="es-ES"/>
        </w:rPr>
        <w:t xml:space="preserve">al </w:t>
      </w:r>
      <w:r w:rsidRPr="00BF7641">
        <w:rPr>
          <w:rFonts w:cs="Arial"/>
          <w:color w:val="000000" w:themeColor="text1"/>
          <w:lang w:val="es-ES"/>
        </w:rPr>
        <w:t>responsable de</w:t>
      </w:r>
      <w:r w:rsidR="00BF7641">
        <w:rPr>
          <w:rFonts w:cs="Arial"/>
          <w:color w:val="000000" w:themeColor="text1"/>
          <w:lang w:val="es-ES"/>
        </w:rPr>
        <w:t>l</w:t>
      </w:r>
      <w:r w:rsidRPr="00BF7641">
        <w:rPr>
          <w:rFonts w:cs="Arial"/>
          <w:color w:val="000000" w:themeColor="text1"/>
          <w:lang w:val="es-ES"/>
        </w:rPr>
        <w:t xml:space="preserve"> retiro.</w:t>
      </w:r>
    </w:p>
    <w:p w14:paraId="42AEC3C3" w14:textId="397F1A48" w:rsidR="0051197C" w:rsidRPr="00BF7641" w:rsidRDefault="0051197C" w:rsidP="00BF7641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5. Confirmar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 xml:space="preserve">recepción en destino cuando </w:t>
      </w:r>
      <w:r w:rsidR="00BF7641">
        <w:rPr>
          <w:rFonts w:cs="Arial"/>
          <w:color w:val="000000" w:themeColor="text1"/>
          <w:lang w:val="es-ES"/>
        </w:rPr>
        <w:t>corresponda</w:t>
      </w:r>
      <w:r w:rsidRPr="00BF7641">
        <w:rPr>
          <w:rFonts w:cs="Arial"/>
          <w:color w:val="000000" w:themeColor="text1"/>
          <w:lang w:val="es-ES"/>
        </w:rPr>
        <w:t>.</w:t>
      </w:r>
    </w:p>
    <w:p w14:paraId="4598E795" w14:textId="77777777" w:rsidR="0051197C" w:rsidRPr="00BF7641" w:rsidRDefault="0051197C" w:rsidP="00BF7641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6. Actualizar estado en NORAYBANKS.</w:t>
      </w:r>
    </w:p>
    <w:p w14:paraId="15F90D82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lastRenderedPageBreak/>
        <w:t>Registros obligatorios</w:t>
      </w:r>
    </w:p>
    <w:p w14:paraId="0E87E78E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Solicitud de retiro.</w:t>
      </w:r>
    </w:p>
    <w:p w14:paraId="0ECAF653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Cadena de custodia.</w:t>
      </w:r>
    </w:p>
    <w:p w14:paraId="1B58896C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MTA/DTA/MTDA cuando aplique.</w:t>
      </w:r>
    </w:p>
    <w:p w14:paraId="2E9CC1B6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Constancia de recepción.</w:t>
      </w:r>
    </w:p>
    <w:p w14:paraId="4EC035EA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3EE120D5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Envíos con trazabilidad completa.</w:t>
      </w:r>
    </w:p>
    <w:p w14:paraId="5DB56883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Incidentes de transporte.</w:t>
      </w:r>
    </w:p>
    <w:p w14:paraId="13776154" w14:textId="77777777" w:rsidR="0051197C" w:rsidRPr="00BF7641" w:rsidRDefault="0051197C" w:rsidP="00BF7641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F7641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65DD9108" w14:textId="2BF03385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Resolución </w:t>
      </w:r>
      <w:r w:rsidR="00BF7641">
        <w:rPr>
          <w:rFonts w:cs="Arial"/>
          <w:color w:val="000000" w:themeColor="text1"/>
          <w:lang w:val="es-ES"/>
        </w:rPr>
        <w:t xml:space="preserve">del </w:t>
      </w:r>
      <w:r w:rsidRPr="00BF7641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0011BE9F" w14:textId="2FB967BC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Resolución </w:t>
      </w:r>
      <w:r w:rsidR="00BF7641">
        <w:rPr>
          <w:rFonts w:cs="Arial"/>
          <w:color w:val="000000" w:themeColor="text1"/>
          <w:lang w:val="es-ES"/>
        </w:rPr>
        <w:t xml:space="preserve">del </w:t>
      </w:r>
      <w:r w:rsidRPr="00BF7641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43CA7DA7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Ley 25.326 - Protección de los Datos Personales.</w:t>
      </w:r>
    </w:p>
    <w:p w14:paraId="4A4349BC" w14:textId="4E1C26A1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Ley 26.529 y </w:t>
      </w:r>
      <w:r w:rsidR="00BF7641">
        <w:rPr>
          <w:rFonts w:cs="Arial"/>
          <w:color w:val="000000" w:themeColor="text1"/>
          <w:lang w:val="es-ES"/>
        </w:rPr>
        <w:t xml:space="preserve">su </w:t>
      </w:r>
      <w:r w:rsidRPr="00BF7641">
        <w:rPr>
          <w:rFonts w:cs="Arial"/>
          <w:color w:val="000000" w:themeColor="text1"/>
          <w:lang w:val="es-ES"/>
        </w:rPr>
        <w:t>modificatoria</w:t>
      </w:r>
      <w:r w:rsidR="00BF7641">
        <w:rPr>
          <w:rFonts w:cs="Arial"/>
          <w:color w:val="000000" w:themeColor="text1"/>
          <w:lang w:val="es-ES"/>
        </w:rPr>
        <w:t>,</w:t>
      </w:r>
      <w:r w:rsidRPr="00BF7641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12707F27" w14:textId="77777777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00CAA415" w14:textId="75F9F232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Ley </w:t>
      </w:r>
      <w:r w:rsidR="00BF7641">
        <w:rPr>
          <w:rFonts w:cs="Arial"/>
          <w:color w:val="000000" w:themeColor="text1"/>
          <w:lang w:val="es-ES"/>
        </w:rPr>
        <w:t xml:space="preserve">de la </w:t>
      </w:r>
      <w:r w:rsidRPr="00BF7641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4C555376" w14:textId="5DFC70D9" w:rsidR="0051197C" w:rsidRPr="00BF7641" w:rsidRDefault="0051197C" w:rsidP="00BF7641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F7641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BF7641">
        <w:rPr>
          <w:rFonts w:cs="Arial"/>
          <w:color w:val="000000" w:themeColor="text1"/>
          <w:lang w:val="es-ES"/>
        </w:rPr>
        <w:t>Practices</w:t>
      </w:r>
      <w:proofErr w:type="spellEnd"/>
      <w:r w:rsidRPr="00BF7641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BF7641">
        <w:rPr>
          <w:rFonts w:cs="Arial"/>
          <w:color w:val="000000" w:themeColor="text1"/>
          <w:lang w:val="es-ES"/>
        </w:rPr>
        <w:t xml:space="preserve">la </w:t>
      </w:r>
      <w:r w:rsidRPr="00BF7641">
        <w:rPr>
          <w:rFonts w:cs="Arial"/>
          <w:color w:val="000000" w:themeColor="text1"/>
          <w:lang w:val="es-ES"/>
        </w:rPr>
        <w:t>normativa aplicable).</w:t>
      </w:r>
      <w:r w:rsidRPr="00BF7641">
        <w:rPr>
          <w:rFonts w:cs="Arial"/>
          <w:color w:val="000000" w:themeColor="text1"/>
          <w:lang w:val="es-ES"/>
        </w:rPr>
        <w:br w:type="page"/>
      </w:r>
    </w:p>
    <w:p w14:paraId="639BA6B1" w14:textId="77777777" w:rsidR="00C740E2" w:rsidRPr="00BF7641" w:rsidRDefault="00C740E2" w:rsidP="00BF7641">
      <w:pPr>
        <w:jc w:val="both"/>
        <w:rPr>
          <w:lang w:val="es-ES"/>
        </w:rPr>
      </w:pPr>
    </w:p>
    <w:sectPr w:rsidR="00C740E2" w:rsidRPr="00BF76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B6288B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7C"/>
    <w:rsid w:val="0012748E"/>
    <w:rsid w:val="001517D0"/>
    <w:rsid w:val="001C0E74"/>
    <w:rsid w:val="002A0105"/>
    <w:rsid w:val="003040C5"/>
    <w:rsid w:val="0051197C"/>
    <w:rsid w:val="00BF764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2059B"/>
  <w15:chartTrackingRefBased/>
  <w15:docId w15:val="{817DCF0C-1E75-0A47-825A-959CE14D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97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1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1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1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9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9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1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9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19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9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19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9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9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197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1197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51197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51197C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2026-09-04T15:17:00Z</dcterms:created>
  <dcterms:modified xsi:type="dcterms:W3CDTF">2026-09-04T20:29:00Z</dcterms:modified>
</cp:coreProperties>
</file>