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630CF" w14:textId="77777777" w:rsidR="00D301B2" w:rsidRPr="00EC063C" w:rsidRDefault="00D301B2" w:rsidP="00EC063C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EC063C">
        <w:rPr>
          <w:rFonts w:ascii="Arial" w:hAnsi="Arial" w:cs="Arial"/>
          <w:color w:val="000000" w:themeColor="text1"/>
          <w:lang w:val="es-ES"/>
        </w:rPr>
        <w:t>BB-MUE-006 - Descarte, destrucción y disposición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2167"/>
        <w:gridCol w:w="2152"/>
        <w:gridCol w:w="2242"/>
      </w:tblGrid>
      <w:tr w:rsidR="00D301B2" w:rsidRPr="00EC063C" w14:paraId="68576FF3" w14:textId="77777777" w:rsidTr="00DF36C8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584B23CE" w14:textId="77777777" w:rsidR="00D301B2" w:rsidRPr="00EC063C" w:rsidRDefault="00D301B2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167" w:type="dxa"/>
            <w:vAlign w:val="center"/>
          </w:tcPr>
          <w:p w14:paraId="55A96EED" w14:textId="77777777" w:rsidR="00D301B2" w:rsidRPr="00EC063C" w:rsidRDefault="00D301B2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color w:val="000000" w:themeColor="text1"/>
                <w:sz w:val="17"/>
                <w:lang w:val="es-ES"/>
              </w:rPr>
              <w:t>BB-MUE-006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601152D0" w14:textId="77777777" w:rsidR="00D301B2" w:rsidRPr="00EC063C" w:rsidRDefault="00D301B2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42" w:type="dxa"/>
            <w:vAlign w:val="center"/>
          </w:tcPr>
          <w:p w14:paraId="13A2D1CD" w14:textId="77777777" w:rsidR="00D301B2" w:rsidRPr="00EC063C" w:rsidRDefault="00D301B2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D301B2" w:rsidRPr="00EC063C" w14:paraId="1657FE40" w14:textId="77777777" w:rsidTr="00DF36C8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7D6EAC3E" w14:textId="77777777" w:rsidR="00D301B2" w:rsidRPr="00EC063C" w:rsidRDefault="00D301B2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167" w:type="dxa"/>
            <w:vAlign w:val="center"/>
          </w:tcPr>
          <w:p w14:paraId="19D2C71A" w14:textId="77777777" w:rsidR="00D301B2" w:rsidRPr="00EC063C" w:rsidRDefault="00D301B2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color w:val="000000" w:themeColor="text1"/>
                <w:sz w:val="17"/>
                <w:lang w:val="es-ES"/>
              </w:rPr>
              <w:t>Descarte, destrucción y disposición final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462CFE98" w14:textId="77777777" w:rsidR="00D301B2" w:rsidRPr="00EC063C" w:rsidRDefault="00D301B2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42" w:type="dxa"/>
            <w:vAlign w:val="center"/>
          </w:tcPr>
          <w:p w14:paraId="472FF85E" w14:textId="77777777" w:rsidR="00D301B2" w:rsidRPr="00EC063C" w:rsidRDefault="00D301B2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DF36C8" w:rsidRPr="00EC063C" w14:paraId="19C12C65" w14:textId="77777777" w:rsidTr="00DF36C8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48C19765" w14:textId="77777777" w:rsidR="00DF36C8" w:rsidRPr="00EC063C" w:rsidRDefault="00DF36C8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167" w:type="dxa"/>
            <w:vAlign w:val="center"/>
          </w:tcPr>
          <w:p w14:paraId="45D9D5BB" w14:textId="77777777" w:rsidR="00DF36C8" w:rsidRPr="00EC063C" w:rsidRDefault="00DF36C8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50E9512E" w14:textId="77777777" w:rsidR="00DF36C8" w:rsidRPr="00EC063C" w:rsidRDefault="00DF36C8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42" w:type="dxa"/>
            <w:vAlign w:val="center"/>
          </w:tcPr>
          <w:p w14:paraId="21DC4148" w14:textId="2F10ECE2" w:rsidR="00DF36C8" w:rsidRPr="00EC063C" w:rsidRDefault="00DF36C8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DF36C8" w:rsidRPr="00EC063C" w14:paraId="477885CF" w14:textId="77777777" w:rsidTr="00DF36C8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22D0CBE0" w14:textId="77777777" w:rsidR="00DF36C8" w:rsidRPr="00EC063C" w:rsidRDefault="00DF36C8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167" w:type="dxa"/>
            <w:vAlign w:val="center"/>
          </w:tcPr>
          <w:p w14:paraId="3F2A1828" w14:textId="21DD200B" w:rsidR="00DF36C8" w:rsidRPr="00EC063C" w:rsidRDefault="00DF36C8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4CED90D2" w14:textId="77777777" w:rsidR="00DF36C8" w:rsidRPr="00EC063C" w:rsidRDefault="00DF36C8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42" w:type="dxa"/>
            <w:vAlign w:val="center"/>
          </w:tcPr>
          <w:p w14:paraId="50D99D68" w14:textId="77777777" w:rsidR="00DF36C8" w:rsidRPr="00EC063C" w:rsidRDefault="00DF36C8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DF36C8" w:rsidRPr="00EC063C" w14:paraId="101ECDA2" w14:textId="77777777" w:rsidTr="00DF36C8">
        <w:trPr>
          <w:jc w:val="center"/>
        </w:trPr>
        <w:tc>
          <w:tcPr>
            <w:tcW w:w="2267" w:type="dxa"/>
            <w:shd w:val="clear" w:color="auto" w:fill="D9EAF7"/>
            <w:vAlign w:val="center"/>
          </w:tcPr>
          <w:p w14:paraId="75B226AB" w14:textId="77777777" w:rsidR="00DF36C8" w:rsidRPr="00EC063C" w:rsidRDefault="00DF36C8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167" w:type="dxa"/>
            <w:vAlign w:val="center"/>
          </w:tcPr>
          <w:p w14:paraId="4E827178" w14:textId="77777777" w:rsidR="00DF36C8" w:rsidRPr="00EC063C" w:rsidRDefault="00DF36C8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52" w:type="dxa"/>
            <w:shd w:val="clear" w:color="auto" w:fill="D9EAF7"/>
            <w:vAlign w:val="center"/>
          </w:tcPr>
          <w:p w14:paraId="7D47F277" w14:textId="77777777" w:rsidR="00DF36C8" w:rsidRPr="00EC063C" w:rsidRDefault="00DF36C8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42" w:type="dxa"/>
            <w:vAlign w:val="center"/>
          </w:tcPr>
          <w:p w14:paraId="4C2DB252" w14:textId="77777777" w:rsidR="00DF36C8" w:rsidRPr="00EC063C" w:rsidRDefault="00DF36C8" w:rsidP="00EC063C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C063C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08C36B2A" w14:textId="77777777" w:rsidR="00D301B2" w:rsidRPr="00EC063C" w:rsidRDefault="00D301B2" w:rsidP="00EC063C">
      <w:pPr>
        <w:jc w:val="both"/>
        <w:rPr>
          <w:rFonts w:cs="Arial"/>
          <w:color w:val="000000" w:themeColor="text1"/>
          <w:lang w:val="es-ES"/>
        </w:rPr>
      </w:pPr>
    </w:p>
    <w:p w14:paraId="4BF2DD49" w14:textId="77777777" w:rsidR="00D301B2" w:rsidRPr="00EC063C" w:rsidRDefault="00D301B2" w:rsidP="00EC063C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C063C">
        <w:rPr>
          <w:rFonts w:ascii="Arial" w:hAnsi="Arial" w:cs="Arial"/>
          <w:color w:val="000000" w:themeColor="text1"/>
          <w:lang w:val="es-ES"/>
        </w:rPr>
        <w:t>Propósito</w:t>
      </w:r>
    </w:p>
    <w:p w14:paraId="3F2007BF" w14:textId="77777777" w:rsidR="00D301B2" w:rsidRPr="00EC063C" w:rsidRDefault="00D301B2" w:rsidP="00EC063C">
      <w:pPr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>Asegurar una disposición final ética, autorizada y documentada.</w:t>
      </w:r>
    </w:p>
    <w:p w14:paraId="4AD5F624" w14:textId="77777777" w:rsidR="00D301B2" w:rsidRPr="00EC063C" w:rsidRDefault="00D301B2" w:rsidP="00EC063C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C063C">
        <w:rPr>
          <w:rFonts w:ascii="Arial" w:hAnsi="Arial" w:cs="Arial"/>
          <w:color w:val="000000" w:themeColor="text1"/>
          <w:lang w:val="es-ES"/>
        </w:rPr>
        <w:t>Alcance</w:t>
      </w:r>
    </w:p>
    <w:p w14:paraId="0D508F0F" w14:textId="77777777" w:rsidR="00D301B2" w:rsidRPr="00EC063C" w:rsidRDefault="00D301B2" w:rsidP="00EC063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>Muestras vencidas, revocadas, agotadas, no conformes o al cierre de colección/estudio.</w:t>
      </w:r>
    </w:p>
    <w:p w14:paraId="668CECF7" w14:textId="77777777" w:rsidR="00D301B2" w:rsidRPr="00EC063C" w:rsidRDefault="00D301B2" w:rsidP="00EC063C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C063C">
        <w:rPr>
          <w:rFonts w:ascii="Arial" w:hAnsi="Arial" w:cs="Arial"/>
          <w:color w:val="000000" w:themeColor="text1"/>
          <w:lang w:val="es-ES"/>
        </w:rPr>
        <w:t>Responsabilidades</w:t>
      </w:r>
    </w:p>
    <w:p w14:paraId="476BBA9D" w14:textId="77777777" w:rsidR="00D301B2" w:rsidRPr="00EC063C" w:rsidRDefault="00D301B2" w:rsidP="00EC063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>Director: autoriza destrucciones relevantes.</w:t>
      </w:r>
    </w:p>
    <w:p w14:paraId="0AE2EEAF" w14:textId="77777777" w:rsidR="00D301B2" w:rsidRPr="00EC063C" w:rsidRDefault="00D301B2" w:rsidP="00EC063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>Técnico: ejecuta y registra.</w:t>
      </w:r>
    </w:p>
    <w:p w14:paraId="3EEB544A" w14:textId="77777777" w:rsidR="00D301B2" w:rsidRPr="00EC063C" w:rsidRDefault="00D301B2" w:rsidP="00EC063C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C063C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650D74DF" w14:textId="77BB9CC6" w:rsidR="00D301B2" w:rsidRPr="00EC063C" w:rsidRDefault="00D301B2" w:rsidP="00EC063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 xml:space="preserve">No destruir muestras si existe incertidumbre respecto del consentimiento, </w:t>
      </w:r>
      <w:r w:rsidR="00EC063C">
        <w:rPr>
          <w:rFonts w:cs="Arial"/>
          <w:color w:val="000000" w:themeColor="text1"/>
          <w:lang w:val="es-ES"/>
        </w:rPr>
        <w:t xml:space="preserve">del </w:t>
      </w:r>
      <w:r w:rsidRPr="00EC063C">
        <w:rPr>
          <w:rFonts w:cs="Arial"/>
          <w:color w:val="000000" w:themeColor="text1"/>
          <w:lang w:val="es-ES"/>
        </w:rPr>
        <w:t>protocolo o</w:t>
      </w:r>
      <w:r w:rsidR="00EC063C">
        <w:rPr>
          <w:rFonts w:cs="Arial"/>
          <w:color w:val="000000" w:themeColor="text1"/>
          <w:lang w:val="es-ES"/>
        </w:rPr>
        <w:t xml:space="preserve"> de la</w:t>
      </w:r>
      <w:r w:rsidRPr="00EC063C">
        <w:rPr>
          <w:rFonts w:cs="Arial"/>
          <w:color w:val="000000" w:themeColor="text1"/>
          <w:lang w:val="es-ES"/>
        </w:rPr>
        <w:t xml:space="preserve"> obligación contractual; escalar al </w:t>
      </w:r>
      <w:proofErr w:type="gramStart"/>
      <w:r w:rsidRPr="00EC063C">
        <w:rPr>
          <w:rFonts w:cs="Arial"/>
          <w:color w:val="000000" w:themeColor="text1"/>
          <w:lang w:val="es-ES"/>
        </w:rPr>
        <w:t>Director</w:t>
      </w:r>
      <w:proofErr w:type="gramEnd"/>
      <w:r w:rsidRPr="00EC063C">
        <w:rPr>
          <w:rFonts w:cs="Arial"/>
          <w:color w:val="000000" w:themeColor="text1"/>
          <w:lang w:val="es-ES"/>
        </w:rPr>
        <w:t>/CEI/Legal.</w:t>
      </w:r>
    </w:p>
    <w:p w14:paraId="50496E9F" w14:textId="786F6113" w:rsidR="00D301B2" w:rsidRPr="00EC063C" w:rsidRDefault="00D301B2" w:rsidP="00EC063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 xml:space="preserve">La destrucción debe impedir </w:t>
      </w:r>
      <w:r w:rsidR="00EC063C">
        <w:rPr>
          <w:rFonts w:cs="Arial"/>
          <w:color w:val="000000" w:themeColor="text1"/>
          <w:lang w:val="es-ES"/>
        </w:rPr>
        <w:t xml:space="preserve">la </w:t>
      </w:r>
      <w:r w:rsidRPr="00EC063C">
        <w:rPr>
          <w:rFonts w:cs="Arial"/>
          <w:color w:val="000000" w:themeColor="text1"/>
          <w:lang w:val="es-ES"/>
        </w:rPr>
        <w:t>reutilización no autorizada.</w:t>
      </w:r>
    </w:p>
    <w:p w14:paraId="2C259AE9" w14:textId="77777777" w:rsidR="00D301B2" w:rsidRPr="00EC063C" w:rsidRDefault="00D301B2" w:rsidP="00EC063C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C063C">
        <w:rPr>
          <w:rFonts w:ascii="Arial" w:hAnsi="Arial" w:cs="Arial"/>
          <w:color w:val="000000" w:themeColor="text1"/>
          <w:lang w:val="es-ES"/>
        </w:rPr>
        <w:t>Procedimiento</w:t>
      </w:r>
    </w:p>
    <w:p w14:paraId="39B4AB9F" w14:textId="77777777" w:rsidR="00D301B2" w:rsidRPr="00EC063C" w:rsidRDefault="00D301B2" w:rsidP="00EC063C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>1. Verificar causal y autorización.</w:t>
      </w:r>
    </w:p>
    <w:p w14:paraId="6328B778" w14:textId="77777777" w:rsidR="00D301B2" w:rsidRPr="00EC063C" w:rsidRDefault="00D301B2" w:rsidP="00EC063C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>2. Identificar muestras y documentar cantidad/códigos.</w:t>
      </w:r>
    </w:p>
    <w:p w14:paraId="2C136617" w14:textId="099C5B9F" w:rsidR="00D301B2" w:rsidRPr="00EC063C" w:rsidRDefault="00D301B2" w:rsidP="00EC063C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 xml:space="preserve">3. Retirar de </w:t>
      </w:r>
      <w:r w:rsidR="00EC063C">
        <w:rPr>
          <w:rFonts w:cs="Arial"/>
          <w:color w:val="000000" w:themeColor="text1"/>
          <w:lang w:val="es-ES"/>
        </w:rPr>
        <w:t xml:space="preserve">la </w:t>
      </w:r>
      <w:r w:rsidRPr="00EC063C">
        <w:rPr>
          <w:rFonts w:cs="Arial"/>
          <w:color w:val="000000" w:themeColor="text1"/>
          <w:lang w:val="es-ES"/>
        </w:rPr>
        <w:t>ubicación y marcar</w:t>
      </w:r>
      <w:r w:rsidR="00EC063C">
        <w:rPr>
          <w:rFonts w:cs="Arial"/>
          <w:color w:val="000000" w:themeColor="text1"/>
          <w:lang w:val="es-ES"/>
        </w:rPr>
        <w:t xml:space="preserve"> la</w:t>
      </w:r>
      <w:r w:rsidRPr="00EC063C">
        <w:rPr>
          <w:rFonts w:cs="Arial"/>
          <w:color w:val="000000" w:themeColor="text1"/>
          <w:lang w:val="es-ES"/>
        </w:rPr>
        <w:t xml:space="preserve"> baja en </w:t>
      </w:r>
      <w:r w:rsidR="00EC063C">
        <w:rPr>
          <w:rFonts w:cs="Arial"/>
          <w:color w:val="000000" w:themeColor="text1"/>
          <w:lang w:val="es-ES"/>
        </w:rPr>
        <w:t xml:space="preserve">el </w:t>
      </w:r>
      <w:r w:rsidRPr="00EC063C">
        <w:rPr>
          <w:rFonts w:cs="Arial"/>
          <w:color w:val="000000" w:themeColor="text1"/>
          <w:lang w:val="es-ES"/>
        </w:rPr>
        <w:t>sistema.</w:t>
      </w:r>
    </w:p>
    <w:p w14:paraId="7F403E9E" w14:textId="315B6104" w:rsidR="00D301B2" w:rsidRPr="00EC063C" w:rsidRDefault="00D301B2" w:rsidP="00EC063C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 xml:space="preserve">4. Destruir según </w:t>
      </w:r>
      <w:r w:rsidR="00EC063C">
        <w:rPr>
          <w:rFonts w:cs="Arial"/>
          <w:color w:val="000000" w:themeColor="text1"/>
          <w:lang w:val="es-ES"/>
        </w:rPr>
        <w:t xml:space="preserve">el </w:t>
      </w:r>
      <w:r w:rsidRPr="00EC063C">
        <w:rPr>
          <w:rFonts w:cs="Arial"/>
          <w:color w:val="000000" w:themeColor="text1"/>
          <w:lang w:val="es-ES"/>
        </w:rPr>
        <w:t xml:space="preserve">circuito de residuos patogénicos y </w:t>
      </w:r>
      <w:r w:rsidR="00EC063C">
        <w:rPr>
          <w:rFonts w:cs="Arial"/>
          <w:color w:val="000000" w:themeColor="text1"/>
          <w:lang w:val="es-ES"/>
        </w:rPr>
        <w:t xml:space="preserve">el </w:t>
      </w:r>
      <w:r w:rsidRPr="00EC063C">
        <w:rPr>
          <w:rFonts w:cs="Arial"/>
          <w:color w:val="000000" w:themeColor="text1"/>
          <w:lang w:val="es-ES"/>
        </w:rPr>
        <w:t>riesgo aplicable.</w:t>
      </w:r>
    </w:p>
    <w:p w14:paraId="5EAF316D" w14:textId="77777777" w:rsidR="00D301B2" w:rsidRPr="00EC063C" w:rsidRDefault="00D301B2" w:rsidP="00EC063C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>5. Conservar evidencia documental del acto.</w:t>
      </w:r>
    </w:p>
    <w:p w14:paraId="0208105F" w14:textId="77777777" w:rsidR="00D301B2" w:rsidRPr="00EC063C" w:rsidRDefault="00D301B2" w:rsidP="00EC063C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C063C">
        <w:rPr>
          <w:rFonts w:ascii="Arial" w:hAnsi="Arial" w:cs="Arial"/>
          <w:color w:val="000000" w:themeColor="text1"/>
          <w:lang w:val="es-ES"/>
        </w:rPr>
        <w:t>Registros obligatorios</w:t>
      </w:r>
    </w:p>
    <w:p w14:paraId="0A68C3F6" w14:textId="77777777" w:rsidR="00D301B2" w:rsidRPr="00EC063C" w:rsidRDefault="00D301B2" w:rsidP="00EC063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>Acta de destrucción.</w:t>
      </w:r>
    </w:p>
    <w:p w14:paraId="703277BA" w14:textId="77777777" w:rsidR="00D301B2" w:rsidRPr="00EC063C" w:rsidRDefault="00D301B2" w:rsidP="00EC063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>Registro de baja en NORAYBANKS.</w:t>
      </w:r>
    </w:p>
    <w:p w14:paraId="5B2816B7" w14:textId="77777777" w:rsidR="00D301B2" w:rsidRPr="00EC063C" w:rsidRDefault="00D301B2" w:rsidP="00EC063C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C063C">
        <w:rPr>
          <w:rFonts w:ascii="Arial" w:hAnsi="Arial" w:cs="Arial"/>
          <w:color w:val="000000" w:themeColor="text1"/>
          <w:lang w:val="es-ES"/>
        </w:rPr>
        <w:lastRenderedPageBreak/>
        <w:t>Indicadores y control</w:t>
      </w:r>
    </w:p>
    <w:p w14:paraId="2BFC5AA6" w14:textId="77777777" w:rsidR="00D301B2" w:rsidRPr="00EC063C" w:rsidRDefault="00D301B2" w:rsidP="00EC063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>Destrucciones con autorización documentada = 100%.</w:t>
      </w:r>
    </w:p>
    <w:p w14:paraId="0B2E68ED" w14:textId="77777777" w:rsidR="00D301B2" w:rsidRPr="00EC063C" w:rsidRDefault="00D301B2" w:rsidP="00EC063C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C063C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0E7BFEAD" w14:textId="4FF9C922" w:rsidR="00D301B2" w:rsidRPr="00EC063C" w:rsidRDefault="00D301B2" w:rsidP="00EC063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 xml:space="preserve">Resolución </w:t>
      </w:r>
      <w:r w:rsidR="00EC063C">
        <w:rPr>
          <w:rFonts w:cs="Arial"/>
          <w:color w:val="000000" w:themeColor="text1"/>
          <w:lang w:val="es-ES"/>
        </w:rPr>
        <w:t xml:space="preserve">del </w:t>
      </w:r>
      <w:r w:rsidRPr="00EC063C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45E5FDA0" w14:textId="6CB15ACD" w:rsidR="00D301B2" w:rsidRPr="00EC063C" w:rsidRDefault="00D301B2" w:rsidP="00EC063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 xml:space="preserve">Resolución </w:t>
      </w:r>
      <w:r w:rsidR="00EC063C">
        <w:rPr>
          <w:rFonts w:cs="Arial"/>
          <w:color w:val="000000" w:themeColor="text1"/>
          <w:lang w:val="es-ES"/>
        </w:rPr>
        <w:t xml:space="preserve">del </w:t>
      </w:r>
      <w:r w:rsidRPr="00EC063C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233FC79B" w14:textId="77777777" w:rsidR="00D301B2" w:rsidRPr="00EC063C" w:rsidRDefault="00D301B2" w:rsidP="00EC063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>Ley 25.326 - Protección de los Datos Personales.</w:t>
      </w:r>
    </w:p>
    <w:p w14:paraId="60D94F09" w14:textId="1B99ABF5" w:rsidR="00D301B2" w:rsidRPr="00EC063C" w:rsidRDefault="00D301B2" w:rsidP="00EC063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 xml:space="preserve">Ley 26.529 y </w:t>
      </w:r>
      <w:r w:rsidR="00EC063C">
        <w:rPr>
          <w:rFonts w:cs="Arial"/>
          <w:color w:val="000000" w:themeColor="text1"/>
          <w:lang w:val="es-ES"/>
        </w:rPr>
        <w:t xml:space="preserve">su </w:t>
      </w:r>
      <w:r w:rsidRPr="00EC063C">
        <w:rPr>
          <w:rFonts w:cs="Arial"/>
          <w:color w:val="000000" w:themeColor="text1"/>
          <w:lang w:val="es-ES"/>
        </w:rPr>
        <w:t>modificatoria</w:t>
      </w:r>
      <w:r w:rsidR="00EC063C">
        <w:rPr>
          <w:rFonts w:cs="Arial"/>
          <w:color w:val="000000" w:themeColor="text1"/>
          <w:lang w:val="es-ES"/>
        </w:rPr>
        <w:t>,</w:t>
      </w:r>
      <w:r w:rsidRPr="00EC063C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0BBA0249" w14:textId="77777777" w:rsidR="00D301B2" w:rsidRPr="00EC063C" w:rsidRDefault="00D301B2" w:rsidP="00EC063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79F66137" w14:textId="2B6BDA65" w:rsidR="00D301B2" w:rsidRPr="00EC063C" w:rsidRDefault="00D301B2" w:rsidP="00EC063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 xml:space="preserve">Ley </w:t>
      </w:r>
      <w:r w:rsidR="00EC063C">
        <w:rPr>
          <w:rFonts w:cs="Arial"/>
          <w:color w:val="000000" w:themeColor="text1"/>
          <w:lang w:val="es-ES"/>
        </w:rPr>
        <w:t xml:space="preserve">de la </w:t>
      </w:r>
      <w:r w:rsidRPr="00EC063C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04F61B83" w14:textId="1D6CD177" w:rsidR="00D301B2" w:rsidRPr="00EC063C" w:rsidRDefault="00D301B2" w:rsidP="00EC063C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C063C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EC063C">
        <w:rPr>
          <w:rFonts w:cs="Arial"/>
          <w:color w:val="000000" w:themeColor="text1"/>
          <w:lang w:val="es-ES"/>
        </w:rPr>
        <w:t>Practices</w:t>
      </w:r>
      <w:proofErr w:type="spellEnd"/>
      <w:r w:rsidRPr="00EC063C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EC063C">
        <w:rPr>
          <w:rFonts w:cs="Arial"/>
          <w:color w:val="000000" w:themeColor="text1"/>
          <w:lang w:val="es-ES"/>
        </w:rPr>
        <w:t xml:space="preserve">la </w:t>
      </w:r>
      <w:r w:rsidRPr="00EC063C">
        <w:rPr>
          <w:rFonts w:cs="Arial"/>
          <w:color w:val="000000" w:themeColor="text1"/>
          <w:lang w:val="es-ES"/>
        </w:rPr>
        <w:t>normativa aplicable).</w:t>
      </w:r>
      <w:r w:rsidRPr="00EC063C">
        <w:rPr>
          <w:rFonts w:cs="Arial"/>
          <w:color w:val="000000" w:themeColor="text1"/>
          <w:lang w:val="es-ES"/>
        </w:rPr>
        <w:br w:type="page"/>
      </w:r>
    </w:p>
    <w:p w14:paraId="708A3526" w14:textId="77777777" w:rsidR="00C740E2" w:rsidRPr="00EC063C" w:rsidRDefault="00C740E2" w:rsidP="00EC063C">
      <w:pPr>
        <w:jc w:val="both"/>
        <w:rPr>
          <w:lang w:val="es-ES"/>
        </w:rPr>
      </w:pPr>
    </w:p>
    <w:sectPr w:rsidR="00C740E2" w:rsidRPr="00EC06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402E95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B2"/>
    <w:rsid w:val="0012748E"/>
    <w:rsid w:val="001517D0"/>
    <w:rsid w:val="002A0105"/>
    <w:rsid w:val="003040C5"/>
    <w:rsid w:val="00C740E2"/>
    <w:rsid w:val="00D301B2"/>
    <w:rsid w:val="00DF36C8"/>
    <w:rsid w:val="00EC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285DEF"/>
  <w15:chartTrackingRefBased/>
  <w15:docId w15:val="{5B03CF23-0699-704F-A851-97EA53377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1B2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3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0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0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01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01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01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01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0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30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0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01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01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01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01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01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01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01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01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01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01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01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01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0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01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01B2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D301B2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D301B2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D301B2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3</cp:revision>
  <dcterms:created xsi:type="dcterms:W3CDTF">2026-09-04T15:17:00Z</dcterms:created>
  <dcterms:modified xsi:type="dcterms:W3CDTF">2026-09-04T20:30:00Z</dcterms:modified>
</cp:coreProperties>
</file>