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0CBEF" w14:textId="77777777" w:rsidR="00D12580" w:rsidRPr="00D26CB1" w:rsidRDefault="00D12580" w:rsidP="00D12580">
      <w:pPr>
        <w:pStyle w:val="Ttulo1"/>
        <w:jc w:val="center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BB-INS-002 - Ingreso periódico de muestras a colecciones institucionales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2201"/>
        <w:gridCol w:w="2138"/>
        <w:gridCol w:w="2231"/>
      </w:tblGrid>
      <w:tr w:rsidR="00D12580" w:rsidRPr="00D26CB1" w14:paraId="44A61B67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E3C49F8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29EE8723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BB-INS-002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EC30D9A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5BED9626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D12580" w:rsidRPr="00D26CB1" w14:paraId="53F9FF9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37611F7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539BF883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Ingreso periódico de muestras a colecciones institucionales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19993E1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1BCAF3DC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D12580" w:rsidRPr="00D26CB1" w14:paraId="176644F8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8CEEDF7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758BF9B7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Unidad A - Investigación HEC-CEMET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5F7CB48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5E3E4EEA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D12580" w:rsidRPr="00D26CB1" w14:paraId="591BD0C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970AF64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03056C3E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021642FF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2B14D428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D12580" w:rsidRPr="00D26CB1" w14:paraId="7DDFADE4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B24403A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58C0A8D1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2193928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4CB2AE90" w14:textId="77777777" w:rsidR="00D12580" w:rsidRPr="00D26CB1" w:rsidRDefault="00D12580" w:rsidP="002624BC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91EED08" w14:textId="77777777" w:rsidR="00D12580" w:rsidRPr="00D26CB1" w:rsidRDefault="00D12580" w:rsidP="00D12580">
      <w:pPr>
        <w:jc w:val="both"/>
        <w:rPr>
          <w:color w:val="000000" w:themeColor="text1"/>
          <w:lang w:val="es-ES"/>
        </w:rPr>
      </w:pPr>
    </w:p>
    <w:p w14:paraId="02780049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Propósito</w:t>
      </w:r>
    </w:p>
    <w:p w14:paraId="50AFA2B9" w14:textId="77777777" w:rsidR="00D12580" w:rsidRPr="00D26CB1" w:rsidRDefault="00D12580" w:rsidP="00D12580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Estandarizar </w:t>
      </w:r>
      <w:r>
        <w:rPr>
          <w:color w:val="000000" w:themeColor="text1"/>
          <w:lang w:val="es-ES"/>
        </w:rPr>
        <w:t xml:space="preserve">los </w:t>
      </w:r>
      <w:r w:rsidRPr="00D26CB1">
        <w:rPr>
          <w:color w:val="000000" w:themeColor="text1"/>
          <w:lang w:val="es-ES"/>
        </w:rPr>
        <w:t>ingresos sucesivos a</w:t>
      </w:r>
      <w:r>
        <w:rPr>
          <w:color w:val="000000" w:themeColor="text1"/>
          <w:lang w:val="es-ES"/>
        </w:rPr>
        <w:t xml:space="preserve"> las</w:t>
      </w:r>
      <w:r w:rsidRPr="00D26CB1">
        <w:rPr>
          <w:color w:val="000000" w:themeColor="text1"/>
          <w:lang w:val="es-ES"/>
        </w:rPr>
        <w:t xml:space="preserve"> colecciones ya aprobadas.</w:t>
      </w:r>
    </w:p>
    <w:p w14:paraId="7D026182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Alcance</w:t>
      </w:r>
    </w:p>
    <w:p w14:paraId="5F63A1F3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Colecciones activas de Unidad A.</w:t>
      </w:r>
    </w:p>
    <w:p w14:paraId="0C48CC82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Responsabilidades</w:t>
      </w:r>
    </w:p>
    <w:p w14:paraId="5FDA59E9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Técnico: recepción y registro.</w:t>
      </w:r>
    </w:p>
    <w:p w14:paraId="56B832CF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Usuario: entrega según condiciones acordadas.</w:t>
      </w:r>
    </w:p>
    <w:p w14:paraId="73821001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Definiciones / criterios</w:t>
      </w:r>
    </w:p>
    <w:p w14:paraId="5FACEA47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No aceptar ampliaciones sustantivas fuera del protocolo/espacio aprobado sin evaluación previa.</w:t>
      </w:r>
    </w:p>
    <w:p w14:paraId="07A47FA3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Procedimiento</w:t>
      </w:r>
    </w:p>
    <w:p w14:paraId="4CC13B86" w14:textId="77777777" w:rsidR="00D12580" w:rsidRPr="00D26CB1" w:rsidRDefault="00D12580" w:rsidP="00D12580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1. Confirmar colección activa.</w:t>
      </w:r>
    </w:p>
    <w:p w14:paraId="2C155D12" w14:textId="77777777" w:rsidR="00D12580" w:rsidRPr="00D26CB1" w:rsidRDefault="00D12580" w:rsidP="00D12580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2. Verificar lote/muestras y documentación.</w:t>
      </w:r>
    </w:p>
    <w:p w14:paraId="4AA049C4" w14:textId="77777777" w:rsidR="00D12580" w:rsidRPr="00D26CB1" w:rsidRDefault="00D12580" w:rsidP="00D12580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3. Registrar recepción en NORAYBANKS.</w:t>
      </w:r>
    </w:p>
    <w:p w14:paraId="023AAFF6" w14:textId="77777777" w:rsidR="00D12580" w:rsidRPr="00D26CB1" w:rsidRDefault="00D12580" w:rsidP="00D12580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4. Ubicar en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espacio asignado.</w:t>
      </w:r>
    </w:p>
    <w:p w14:paraId="207D15FC" w14:textId="77777777" w:rsidR="00D12580" w:rsidRPr="00D26CB1" w:rsidRDefault="00D12580" w:rsidP="00D12580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5. Notificar desvíos.</w:t>
      </w:r>
    </w:p>
    <w:p w14:paraId="79C11F11" w14:textId="77777777" w:rsidR="00D12580" w:rsidRPr="00D26CB1" w:rsidRDefault="00D12580" w:rsidP="00D12580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6. Revisar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ocupación acumulada frente a lo autorizado.</w:t>
      </w:r>
    </w:p>
    <w:p w14:paraId="00D1BAB4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Registros obligatorios</w:t>
      </w:r>
    </w:p>
    <w:p w14:paraId="08F431AF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Registro de recepción.</w:t>
      </w:r>
    </w:p>
    <w:p w14:paraId="1B22B316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lastRenderedPageBreak/>
        <w:t>Reporte de ocupación por colección.</w:t>
      </w:r>
    </w:p>
    <w:p w14:paraId="1D3D0DED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Indicadores y control</w:t>
      </w:r>
    </w:p>
    <w:p w14:paraId="4A4BFE66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Recepciones conformes.</w:t>
      </w:r>
    </w:p>
    <w:p w14:paraId="606B6136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Desvíos por sobreocupación.</w:t>
      </w:r>
    </w:p>
    <w:p w14:paraId="127D4829" w14:textId="77777777" w:rsidR="00D12580" w:rsidRPr="00D26CB1" w:rsidRDefault="00D12580" w:rsidP="00D12580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Referencias y documentos relacionados</w:t>
      </w:r>
    </w:p>
    <w:p w14:paraId="6B4603D1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780D483B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3099016F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Ley 25.326 - Protección de los Datos Personales.</w:t>
      </w:r>
    </w:p>
    <w:p w14:paraId="78D8DEDB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D26CB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Ley 26.742 - Derechos del Paciente.</w:t>
      </w:r>
    </w:p>
    <w:p w14:paraId="32EA681A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Código Civil y Comercial de la Nación, arts. 58 y 59, cuando resulte aplicable.</w:t>
      </w:r>
    </w:p>
    <w:p w14:paraId="65A8808A" w14:textId="77777777" w:rsidR="00D12580" w:rsidRPr="00D26CB1" w:rsidRDefault="00D12580" w:rsidP="00D12580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D26CB1">
        <w:rPr>
          <w:color w:val="000000" w:themeColor="text1"/>
          <w:lang w:val="es-ES"/>
        </w:rPr>
        <w:t>Provincia de Buenos Aires 15.462 y Decreto 3389/2024 - Investigación en Salud.</w:t>
      </w:r>
    </w:p>
    <w:p w14:paraId="0C5818D6" w14:textId="77777777" w:rsidR="00C740E2" w:rsidRDefault="00D12580" w:rsidP="00D12580">
      <w:r w:rsidRPr="00D26CB1">
        <w:rPr>
          <w:color w:val="000000" w:themeColor="text1"/>
          <w:lang w:val="es-ES"/>
        </w:rPr>
        <w:t xml:space="preserve">ISO 20387:2018 e ISBER Best </w:t>
      </w:r>
      <w:proofErr w:type="spellStart"/>
      <w:r w:rsidRPr="00D26CB1">
        <w:rPr>
          <w:color w:val="000000" w:themeColor="text1"/>
          <w:lang w:val="es-ES"/>
        </w:rPr>
        <w:t>Practices</w:t>
      </w:r>
      <w:proofErr w:type="spellEnd"/>
      <w:r w:rsidRPr="00D26CB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normativa aplicable).</w:t>
      </w:r>
    </w:p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DFE2D4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6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80"/>
    <w:rsid w:val="0012748E"/>
    <w:rsid w:val="001517D0"/>
    <w:rsid w:val="002A0105"/>
    <w:rsid w:val="003040C5"/>
    <w:rsid w:val="00C740E2"/>
    <w:rsid w:val="00D1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74B6E4"/>
  <w15:chartTrackingRefBased/>
  <w15:docId w15:val="{E2454577-4862-D540-B478-EF3EEEF6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580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1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5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5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5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5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5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5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5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580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1258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D12580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2026-09-04T20:39:00Z</dcterms:created>
  <dcterms:modified xsi:type="dcterms:W3CDTF">2026-09-04T20:40:00Z</dcterms:modified>
</cp:coreProperties>
</file>