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6DD630" w14:textId="77777777" w:rsidR="00AD2C13" w:rsidRPr="00B470F1" w:rsidRDefault="00AD2C13" w:rsidP="00AD2C13">
      <w:pPr>
        <w:pStyle w:val="Ttulo1"/>
        <w:jc w:val="center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BB-CLI-001 - Evaluación y aceptación de servicios, protocolos clínicos y contratos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194"/>
        <w:gridCol w:w="2141"/>
        <w:gridCol w:w="2234"/>
      </w:tblGrid>
      <w:tr w:rsidR="00AD2C13" w:rsidRPr="00B470F1" w14:paraId="7E4B8744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0BE9355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7A26D794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BB-CLI-001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F293AD8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2BC34C1C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AD2C13" w:rsidRPr="00B470F1" w14:paraId="3A8ECDDF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2912547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054FEC17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Evaluación y aceptación de servicios, protocolos clínicos y contratos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6620D2EB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144873CA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AD2C13" w:rsidRPr="00B470F1" w14:paraId="0EA4032F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137CB46A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3221F62A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Unidad B - Servicios / Industria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BED70D0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3F0DC74F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AD2C13" w:rsidRPr="00B470F1" w14:paraId="326FD438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51AE19D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334E1F13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70AE9FA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58BF0000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AD2C13" w:rsidRPr="00B470F1" w14:paraId="2411CAF0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072D487B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6F424BE1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D65F597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2B8B8FA1" w14:textId="77777777" w:rsidR="00AD2C13" w:rsidRPr="00B470F1" w:rsidRDefault="00AD2C13" w:rsidP="002624BC">
            <w:pPr>
              <w:jc w:val="both"/>
              <w:rPr>
                <w:color w:val="000000" w:themeColor="text1"/>
                <w:lang w:val="es-ES"/>
              </w:rPr>
            </w:pPr>
            <w:r w:rsidRPr="00B470F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59A31C8C" w14:textId="77777777" w:rsidR="00AD2C13" w:rsidRPr="00B470F1" w:rsidRDefault="00AD2C13" w:rsidP="00AD2C13">
      <w:pPr>
        <w:jc w:val="both"/>
        <w:rPr>
          <w:color w:val="000000" w:themeColor="text1"/>
          <w:lang w:val="es-ES"/>
        </w:rPr>
      </w:pPr>
    </w:p>
    <w:p w14:paraId="618B0C03" w14:textId="77777777" w:rsidR="00AD2C13" w:rsidRPr="00B470F1" w:rsidRDefault="00AD2C13" w:rsidP="00AD2C13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Propósito</w:t>
      </w:r>
    </w:p>
    <w:p w14:paraId="2E58B12C" w14:textId="77777777" w:rsidR="00AD2C13" w:rsidRPr="00B470F1" w:rsidRDefault="00AD2C13" w:rsidP="00AD2C13">
      <w:pPr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Determinar si el Biobanco puede aceptar un servicio externo o </w:t>
      </w:r>
      <w:r>
        <w:rPr>
          <w:color w:val="000000" w:themeColor="text1"/>
          <w:lang w:val="es-ES"/>
        </w:rPr>
        <w:t xml:space="preserve">un </w:t>
      </w:r>
      <w:r w:rsidRPr="00B470F1">
        <w:rPr>
          <w:color w:val="000000" w:themeColor="text1"/>
          <w:lang w:val="es-ES"/>
        </w:rPr>
        <w:t>protocolo antes de recibir muestras.</w:t>
      </w:r>
    </w:p>
    <w:p w14:paraId="1B91B5E9" w14:textId="77777777" w:rsidR="00AD2C13" w:rsidRPr="00B470F1" w:rsidRDefault="00AD2C13" w:rsidP="00AD2C13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Alcance</w:t>
      </w:r>
    </w:p>
    <w:p w14:paraId="3FFC65B7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Patrocinadores, CRO, protocolos clínicos, estudios observacionales patrocinados y servicios de almacenamiento.</w:t>
      </w:r>
    </w:p>
    <w:p w14:paraId="50D6EE8D" w14:textId="77777777" w:rsidR="00AD2C13" w:rsidRPr="00B470F1" w:rsidRDefault="00AD2C13" w:rsidP="00AD2C13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Responsabilidades</w:t>
      </w:r>
    </w:p>
    <w:p w14:paraId="608A8597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Director: decisión de aceptación técnica y operativa.</w:t>
      </w:r>
    </w:p>
    <w:p w14:paraId="3D33E10D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Técnico: evaluación de capacidad y logística.</w:t>
      </w:r>
    </w:p>
    <w:p w14:paraId="0A4D787B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Área institucional/Legal: contrato y facturación.</w:t>
      </w:r>
    </w:p>
    <w:p w14:paraId="5913C878" w14:textId="77777777" w:rsidR="00AD2C13" w:rsidRPr="00B470F1" w:rsidRDefault="00AD2C13" w:rsidP="00AD2C13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Definiciones / criterios</w:t>
      </w:r>
    </w:p>
    <w:p w14:paraId="66FE8FDD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No aceptar muestras antes de contar con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marco contractual y</w:t>
      </w:r>
      <w:r>
        <w:rPr>
          <w:color w:val="000000" w:themeColor="text1"/>
          <w:lang w:val="es-ES"/>
        </w:rPr>
        <w:t xml:space="preserve"> la</w:t>
      </w:r>
      <w:r w:rsidRPr="00B470F1">
        <w:rPr>
          <w:color w:val="000000" w:themeColor="text1"/>
          <w:lang w:val="es-ES"/>
        </w:rPr>
        <w:t xml:space="preserve"> documentación mínima.</w:t>
      </w:r>
    </w:p>
    <w:p w14:paraId="4EE1FD2E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La prestación se define como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servicio de recepción</w:t>
      </w:r>
      <w:r>
        <w:rPr>
          <w:color w:val="000000" w:themeColor="text1"/>
          <w:lang w:val="es-ES"/>
        </w:rPr>
        <w:t xml:space="preserve">, custodia, almacenamiento, trazabilidad, preparación y </w:t>
      </w:r>
      <w:r w:rsidRPr="00B470F1">
        <w:rPr>
          <w:color w:val="000000" w:themeColor="text1"/>
          <w:lang w:val="es-ES"/>
        </w:rPr>
        <w:t>envío</w:t>
      </w:r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no como</w:t>
      </w:r>
      <w:r>
        <w:rPr>
          <w:color w:val="000000" w:themeColor="text1"/>
          <w:lang w:val="es-ES"/>
        </w:rPr>
        <w:t xml:space="preserve"> la</w:t>
      </w:r>
      <w:r w:rsidRPr="00B470F1">
        <w:rPr>
          <w:color w:val="000000" w:themeColor="text1"/>
          <w:lang w:val="es-ES"/>
        </w:rPr>
        <w:t xml:space="preserve"> compraventa de muestras.</w:t>
      </w:r>
    </w:p>
    <w:p w14:paraId="4EBABD21" w14:textId="77777777" w:rsidR="00AD2C13" w:rsidRPr="00B470F1" w:rsidRDefault="00AD2C13" w:rsidP="00AD2C13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Procedimiento</w:t>
      </w:r>
    </w:p>
    <w:p w14:paraId="6CF678A5" w14:textId="77777777" w:rsidR="00AD2C13" w:rsidRPr="00B470F1" w:rsidRDefault="00AD2C13" w:rsidP="00AD2C13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1. Recibir solicitud de servicio.</w:t>
      </w:r>
    </w:p>
    <w:p w14:paraId="467F5417" w14:textId="77777777" w:rsidR="00AD2C13" w:rsidRPr="00B470F1" w:rsidRDefault="00AD2C13" w:rsidP="00AD2C13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2. Identificar </w:t>
      </w:r>
      <w:r>
        <w:rPr>
          <w:color w:val="000000" w:themeColor="text1"/>
          <w:lang w:val="es-ES"/>
        </w:rPr>
        <w:t>el patrocinador, el CRO, el IP, el protocolo, la versión, la duración y el volumen.</w:t>
      </w:r>
    </w:p>
    <w:p w14:paraId="1DC9E3D4" w14:textId="77777777" w:rsidR="00AD2C13" w:rsidRPr="00B470F1" w:rsidRDefault="00AD2C13" w:rsidP="00AD2C13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3. Revisar requisitos regulatorios/CEI aplicables.</w:t>
      </w:r>
    </w:p>
    <w:p w14:paraId="6535FDF3" w14:textId="77777777" w:rsidR="00AD2C13" w:rsidRPr="00B470F1" w:rsidRDefault="00AD2C13" w:rsidP="00AD2C13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4. Revisar </w:t>
      </w:r>
      <w:r>
        <w:rPr>
          <w:color w:val="000000" w:themeColor="text1"/>
          <w:lang w:val="es-ES"/>
        </w:rPr>
        <w:t>el manual de laboratorio, las temperaturas, la frecuencia de envíos y los requisitos</w:t>
      </w:r>
      <w:r w:rsidRPr="00B470F1">
        <w:rPr>
          <w:color w:val="000000" w:themeColor="text1"/>
          <w:lang w:val="es-ES"/>
        </w:rPr>
        <w:t xml:space="preserve"> de auditoría.</w:t>
      </w:r>
    </w:p>
    <w:p w14:paraId="635C4D7C" w14:textId="77777777" w:rsidR="00AD2C13" w:rsidRPr="00B470F1" w:rsidRDefault="00AD2C13" w:rsidP="00AD2C13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5. Evaluar capacidad, contingencia y costos.</w:t>
      </w:r>
    </w:p>
    <w:p w14:paraId="671571B3" w14:textId="77777777" w:rsidR="00AD2C13" w:rsidRPr="00B470F1" w:rsidRDefault="00AD2C13" w:rsidP="00AD2C13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lastRenderedPageBreak/>
        <w:t xml:space="preserve">6. Documentar </w:t>
      </w:r>
      <w:r>
        <w:rPr>
          <w:color w:val="000000" w:themeColor="text1"/>
          <w:lang w:val="es-ES"/>
        </w:rPr>
        <w:t xml:space="preserve">las </w:t>
      </w:r>
      <w:r w:rsidRPr="00B470F1">
        <w:rPr>
          <w:color w:val="000000" w:themeColor="text1"/>
          <w:lang w:val="es-ES"/>
        </w:rPr>
        <w:t>responsabilidades y</w:t>
      </w:r>
      <w:r>
        <w:rPr>
          <w:color w:val="000000" w:themeColor="text1"/>
          <w:lang w:val="es-ES"/>
        </w:rPr>
        <w:t xml:space="preserve"> los</w:t>
      </w:r>
      <w:r w:rsidRPr="00B470F1">
        <w:rPr>
          <w:color w:val="000000" w:themeColor="text1"/>
          <w:lang w:val="es-ES"/>
        </w:rPr>
        <w:t xml:space="preserve"> SLA cuando corresponda.</w:t>
      </w:r>
    </w:p>
    <w:p w14:paraId="3CB7D032" w14:textId="77777777" w:rsidR="00AD2C13" w:rsidRPr="00B470F1" w:rsidRDefault="00AD2C13" w:rsidP="00AD2C13">
      <w:pPr>
        <w:ind w:left="312" w:hanging="255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7. Aprobar y crear </w:t>
      </w:r>
      <w:r>
        <w:rPr>
          <w:color w:val="000000" w:themeColor="text1"/>
          <w:lang w:val="es-ES"/>
        </w:rPr>
        <w:t xml:space="preserve">el </w:t>
      </w:r>
      <w:r w:rsidRPr="00B470F1">
        <w:rPr>
          <w:color w:val="000000" w:themeColor="text1"/>
          <w:lang w:val="es-ES"/>
        </w:rPr>
        <w:t>estudio en NORAYBANKS.</w:t>
      </w:r>
    </w:p>
    <w:p w14:paraId="72BAE4C7" w14:textId="77777777" w:rsidR="00AD2C13" w:rsidRPr="00B470F1" w:rsidRDefault="00AD2C13" w:rsidP="00AD2C13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Registros obligatorios</w:t>
      </w:r>
    </w:p>
    <w:p w14:paraId="06E7A59A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Formulario de evaluación de servicio.</w:t>
      </w:r>
    </w:p>
    <w:p w14:paraId="7FC8A96F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Contrato/convenio.</w:t>
      </w:r>
    </w:p>
    <w:p w14:paraId="5018F2C5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Protocolo/manual de laboratorio.</w:t>
      </w:r>
    </w:p>
    <w:p w14:paraId="68265B89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Aprobaciones requeridas.</w:t>
      </w:r>
    </w:p>
    <w:p w14:paraId="22928D29" w14:textId="77777777" w:rsidR="00AD2C13" w:rsidRPr="00B470F1" w:rsidRDefault="00AD2C13" w:rsidP="00AD2C13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Indicadores y control</w:t>
      </w:r>
    </w:p>
    <w:p w14:paraId="6B3E1111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Servicios aceptados con evaluación completa.</w:t>
      </w:r>
    </w:p>
    <w:p w14:paraId="4721BBB3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Desvíos atribuibles a requisitos no identificados.</w:t>
      </w:r>
    </w:p>
    <w:p w14:paraId="742AABE6" w14:textId="77777777" w:rsidR="00AD2C13" w:rsidRPr="00B470F1" w:rsidRDefault="00AD2C13" w:rsidP="00AD2C13">
      <w:pPr>
        <w:pStyle w:val="Ttulo2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Referencias y documentos relacionados</w:t>
      </w:r>
    </w:p>
    <w:p w14:paraId="241189A6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4FDA58C8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B470F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068CC255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Ley 25.326 - Protección de los Datos Personales.</w:t>
      </w:r>
    </w:p>
    <w:p w14:paraId="6107E9E7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B470F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B470F1">
        <w:rPr>
          <w:color w:val="000000" w:themeColor="text1"/>
          <w:lang w:val="es-ES"/>
        </w:rPr>
        <w:t xml:space="preserve"> Ley 26.742 - Derechos del Paciente.</w:t>
      </w:r>
    </w:p>
    <w:p w14:paraId="07A53783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Código Civil y Comercial de la Nación, arts. 58 y 59, cuando resulte aplicable.</w:t>
      </w:r>
    </w:p>
    <w:p w14:paraId="684F41FA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B470F1">
        <w:rPr>
          <w:color w:val="000000" w:themeColor="text1"/>
          <w:lang w:val="es-ES"/>
        </w:rPr>
        <w:t>Provincia de Buenos Aires 15.462 y Decreto 3389/2024 - Investigación en Salud.</w:t>
      </w:r>
    </w:p>
    <w:p w14:paraId="43A30629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 xml:space="preserve">ISO 20387:2018 e ISBER Best </w:t>
      </w:r>
      <w:proofErr w:type="spellStart"/>
      <w:r w:rsidRPr="00B470F1">
        <w:rPr>
          <w:color w:val="000000" w:themeColor="text1"/>
          <w:lang w:val="es-ES"/>
        </w:rPr>
        <w:t>Practices</w:t>
      </w:r>
      <w:proofErr w:type="spellEnd"/>
      <w:r w:rsidRPr="00B470F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B470F1">
        <w:rPr>
          <w:color w:val="000000" w:themeColor="text1"/>
          <w:lang w:val="es-ES"/>
        </w:rPr>
        <w:t>normativa aplicable).</w:t>
      </w:r>
    </w:p>
    <w:p w14:paraId="603033C6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Disposición ANMAT 7516/2025 e ICH E6(R3), exclusivamente para estudios de farmacología clínica alcanzados por dicha disposición.</w:t>
      </w:r>
    </w:p>
    <w:p w14:paraId="343F2DD0" w14:textId="77777777" w:rsidR="00AD2C13" w:rsidRPr="00B470F1" w:rsidRDefault="00AD2C13" w:rsidP="00AD2C13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B470F1">
        <w:rPr>
          <w:color w:val="000000" w:themeColor="text1"/>
          <w:lang w:val="es-ES"/>
        </w:rPr>
        <w:t>Manual de laboratorio, protocolo, contrato y requisitos del patrocinador/CRO vigentes para cada estudio.</w:t>
      </w:r>
    </w:p>
    <w:p w14:paraId="24E6760F" w14:textId="76CD5A34" w:rsidR="00C740E2" w:rsidRDefault="00AD2C13" w:rsidP="00AD2C13">
      <w:r w:rsidRPr="00B470F1">
        <w:rPr>
          <w:color w:val="000000" w:themeColor="text1"/>
          <w:lang w:val="es-ES"/>
        </w:rPr>
        <w:br w:type="page"/>
      </w:r>
    </w:p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0846E85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495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13"/>
    <w:rsid w:val="0012748E"/>
    <w:rsid w:val="001517D0"/>
    <w:rsid w:val="002A0105"/>
    <w:rsid w:val="003040C5"/>
    <w:rsid w:val="00AD2C13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DE2333"/>
  <w15:chartTrackingRefBased/>
  <w15:docId w15:val="{C157435A-6D1C-4745-9EF2-9CBACF9B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C13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D2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2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C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C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C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C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2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C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C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C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C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C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C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C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C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C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C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C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C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C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C13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AD2C13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AD2C13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432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2026-09-04T21:03:00Z</dcterms:created>
  <dcterms:modified xsi:type="dcterms:W3CDTF">2026-09-04T21:04:00Z</dcterms:modified>
</cp:coreProperties>
</file>