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3548E2" w14:textId="77777777" w:rsidR="00343C81" w:rsidRPr="00B470F1" w:rsidRDefault="00343C81" w:rsidP="00343C81">
      <w:pPr>
        <w:pStyle w:val="Ttulo1"/>
        <w:jc w:val="center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BB-CLI-002 - Recepción de muestras de protocolos clínicos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194"/>
        <w:gridCol w:w="2141"/>
        <w:gridCol w:w="2234"/>
      </w:tblGrid>
      <w:tr w:rsidR="00343C81" w:rsidRPr="00B470F1" w14:paraId="7FD743C7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2E39A918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7518D0E3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BB-CLI-002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54129D22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6923072D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343C81" w:rsidRPr="00B470F1" w14:paraId="5B36B01D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005021DB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1D2F8C14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Recepción de muestras de protocolos clínicos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441D939D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3DB4C6AD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343C81" w:rsidRPr="00B470F1" w14:paraId="3AF48AA6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5C0F3D7F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4FB71FBB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Unidad B - Servicios / Industria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F4926AB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745D50E0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343C81" w:rsidRPr="00B470F1" w14:paraId="7B7B1904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5277E416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5C75FB67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53A8F56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2299A5D1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343C81" w:rsidRPr="00B470F1" w14:paraId="44B47523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3C7BA358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6E36283B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2EB2414B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077F9644" w14:textId="77777777" w:rsidR="00343C81" w:rsidRPr="00B470F1" w:rsidRDefault="00343C8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59FE8FA9" w14:textId="77777777" w:rsidR="00343C81" w:rsidRPr="00B470F1" w:rsidRDefault="00343C81" w:rsidP="00343C81">
      <w:pPr>
        <w:jc w:val="both"/>
        <w:rPr>
          <w:color w:val="000000" w:themeColor="text1"/>
          <w:lang w:val="es-ES"/>
        </w:rPr>
      </w:pPr>
    </w:p>
    <w:p w14:paraId="15DA3F55" w14:textId="77777777" w:rsidR="00343C81" w:rsidRPr="00B470F1" w:rsidRDefault="00343C81" w:rsidP="00343C8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Propósito</w:t>
      </w:r>
    </w:p>
    <w:p w14:paraId="70BC59CC" w14:textId="77777777" w:rsidR="00343C81" w:rsidRPr="00B470F1" w:rsidRDefault="00343C81" w:rsidP="00343C8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Asegurar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recepción conforme a</w:t>
      </w:r>
      <w:r>
        <w:rPr>
          <w:color w:val="000000" w:themeColor="text1"/>
          <w:lang w:val="es-ES"/>
        </w:rPr>
        <w:t>l</w:t>
      </w:r>
      <w:r w:rsidRPr="00B470F1">
        <w:rPr>
          <w:color w:val="000000" w:themeColor="text1"/>
          <w:lang w:val="es-ES"/>
        </w:rPr>
        <w:t xml:space="preserve"> protocolo y</w:t>
      </w:r>
      <w:r>
        <w:rPr>
          <w:color w:val="000000" w:themeColor="text1"/>
          <w:lang w:val="es-ES"/>
        </w:rPr>
        <w:t xml:space="preserve"> a la</w:t>
      </w:r>
      <w:r w:rsidRPr="00B470F1">
        <w:rPr>
          <w:color w:val="000000" w:themeColor="text1"/>
          <w:lang w:val="es-ES"/>
        </w:rPr>
        <w:t xml:space="preserve"> cadena de custodia.</w:t>
      </w:r>
    </w:p>
    <w:p w14:paraId="04CDD09D" w14:textId="77777777" w:rsidR="00343C81" w:rsidRPr="00B470F1" w:rsidRDefault="00343C81" w:rsidP="00343C8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Alcance</w:t>
      </w:r>
    </w:p>
    <w:p w14:paraId="66C8C0EB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Todas las muestras que ingresan a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Unidad B.</w:t>
      </w:r>
    </w:p>
    <w:p w14:paraId="3E9DE5D1" w14:textId="77777777" w:rsidR="00343C81" w:rsidRPr="00B470F1" w:rsidRDefault="00343C81" w:rsidP="00343C8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Responsabilidades</w:t>
      </w:r>
    </w:p>
    <w:p w14:paraId="4A8652B9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Técnico: recepción.</w:t>
      </w:r>
    </w:p>
    <w:p w14:paraId="1E206E35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Investigador/sitio/</w:t>
      </w:r>
      <w:proofErr w:type="spellStart"/>
      <w:r w:rsidRPr="00B470F1">
        <w:rPr>
          <w:color w:val="000000" w:themeColor="text1"/>
          <w:lang w:val="es-ES"/>
        </w:rPr>
        <w:t>courier</w:t>
      </w:r>
      <w:proofErr w:type="spellEnd"/>
      <w:r w:rsidRPr="00B470F1">
        <w:rPr>
          <w:color w:val="000000" w:themeColor="text1"/>
          <w:lang w:val="es-ES"/>
        </w:rPr>
        <w:t>: entrega con documentación.</w:t>
      </w:r>
    </w:p>
    <w:p w14:paraId="5D30A96A" w14:textId="77777777" w:rsidR="00343C81" w:rsidRPr="00B470F1" w:rsidRDefault="00343C81" w:rsidP="00343C8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Definiciones / criterios</w:t>
      </w:r>
    </w:p>
    <w:p w14:paraId="2EE03042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Registrar código de estudio, sujeto codificado, visita, tipo, cantidad, fecha/hora de obtención </w:t>
      </w:r>
      <w:r>
        <w:rPr>
          <w:color w:val="000000" w:themeColor="text1"/>
          <w:lang w:val="es-ES"/>
        </w:rPr>
        <w:t>(</w:t>
      </w:r>
      <w:r w:rsidRPr="00B470F1">
        <w:rPr>
          <w:color w:val="000000" w:themeColor="text1"/>
          <w:lang w:val="es-ES"/>
        </w:rPr>
        <w:t>si se requiere</w:t>
      </w:r>
      <w:r>
        <w:rPr>
          <w:color w:val="000000" w:themeColor="text1"/>
          <w:lang w:val="es-ES"/>
        </w:rPr>
        <w:t>)</w:t>
      </w:r>
      <w:r w:rsidRPr="00B470F1">
        <w:rPr>
          <w:color w:val="000000" w:themeColor="text1"/>
          <w:lang w:val="es-ES"/>
        </w:rPr>
        <w:t>, recepción, condición y temperatura</w:t>
      </w:r>
      <w:r>
        <w:rPr>
          <w:color w:val="000000" w:themeColor="text1"/>
          <w:lang w:val="es-ES"/>
        </w:rPr>
        <w:t>,</w:t>
      </w:r>
      <w:r w:rsidRPr="00B470F1">
        <w:rPr>
          <w:color w:val="000000" w:themeColor="text1"/>
          <w:lang w:val="es-ES"/>
        </w:rPr>
        <w:t xml:space="preserve"> cuando aplique.</w:t>
      </w:r>
    </w:p>
    <w:p w14:paraId="69A82B44" w14:textId="77777777" w:rsidR="00343C81" w:rsidRPr="00B470F1" w:rsidRDefault="00343C81" w:rsidP="00343C8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Procedimiento</w:t>
      </w:r>
    </w:p>
    <w:p w14:paraId="7390C0FE" w14:textId="77777777" w:rsidR="00343C81" w:rsidRPr="00B470F1" w:rsidRDefault="00343C81" w:rsidP="00343C8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1. Verificar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identidad del envío y</w:t>
      </w:r>
      <w:r>
        <w:rPr>
          <w:color w:val="000000" w:themeColor="text1"/>
          <w:lang w:val="es-ES"/>
        </w:rPr>
        <w:t xml:space="preserve"> del</w:t>
      </w:r>
      <w:r w:rsidRPr="00B470F1">
        <w:rPr>
          <w:color w:val="000000" w:themeColor="text1"/>
          <w:lang w:val="es-ES"/>
        </w:rPr>
        <w:t xml:space="preserve"> estudio.</w:t>
      </w:r>
    </w:p>
    <w:p w14:paraId="1348C2B1" w14:textId="77777777" w:rsidR="00343C81" w:rsidRPr="00B470F1" w:rsidRDefault="00343C81" w:rsidP="00343C8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2. Revisar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 xml:space="preserve">embalaje y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 xml:space="preserve">data </w:t>
      </w:r>
      <w:proofErr w:type="spellStart"/>
      <w:r w:rsidRPr="00B470F1">
        <w:rPr>
          <w:color w:val="000000" w:themeColor="text1"/>
          <w:lang w:val="es-ES"/>
        </w:rPr>
        <w:t>logger</w:t>
      </w:r>
      <w:proofErr w:type="spellEnd"/>
      <w:r>
        <w:rPr>
          <w:color w:val="000000" w:themeColor="text1"/>
          <w:lang w:val="es-ES"/>
        </w:rPr>
        <w:t>,</w:t>
      </w:r>
      <w:r w:rsidRPr="00B470F1">
        <w:rPr>
          <w:color w:val="000000" w:themeColor="text1"/>
          <w:lang w:val="es-ES"/>
        </w:rPr>
        <w:t xml:space="preserve"> si existe.</w:t>
      </w:r>
    </w:p>
    <w:p w14:paraId="6961C1DC" w14:textId="77777777" w:rsidR="00343C81" w:rsidRPr="00B470F1" w:rsidRDefault="00343C81" w:rsidP="00343C8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3. Contar y cotejar muestras.</w:t>
      </w:r>
    </w:p>
    <w:p w14:paraId="665712A6" w14:textId="77777777" w:rsidR="00343C81" w:rsidRPr="00B470F1" w:rsidRDefault="00343C81" w:rsidP="00343C8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4. Documentar temperatura y condiciones.</w:t>
      </w:r>
    </w:p>
    <w:p w14:paraId="35736291" w14:textId="77777777" w:rsidR="00343C81" w:rsidRPr="00B470F1" w:rsidRDefault="00343C81" w:rsidP="00343C8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5. Clasificar como conforme, aceptada con desviación o rechazada.</w:t>
      </w:r>
    </w:p>
    <w:p w14:paraId="26991C9C" w14:textId="77777777" w:rsidR="00343C81" w:rsidRPr="00B470F1" w:rsidRDefault="00343C81" w:rsidP="00343C8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6. Registrar en NORAYBANKS y ubicar </w:t>
      </w:r>
      <w:r>
        <w:rPr>
          <w:color w:val="000000" w:themeColor="text1"/>
          <w:lang w:val="es-ES"/>
        </w:rPr>
        <w:t>de inmediato</w:t>
      </w:r>
      <w:r w:rsidRPr="00B470F1">
        <w:rPr>
          <w:color w:val="000000" w:themeColor="text1"/>
          <w:lang w:val="es-ES"/>
        </w:rPr>
        <w:t>.</w:t>
      </w:r>
    </w:p>
    <w:p w14:paraId="5AEB4E88" w14:textId="77777777" w:rsidR="00343C81" w:rsidRPr="00B470F1" w:rsidRDefault="00343C81" w:rsidP="00343C8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7. Comunicar discrepancias según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ventana del protocolo.</w:t>
      </w:r>
    </w:p>
    <w:p w14:paraId="1030AAA6" w14:textId="77777777" w:rsidR="00343C81" w:rsidRPr="00B470F1" w:rsidRDefault="00343C81" w:rsidP="00343C8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lastRenderedPageBreak/>
        <w:t>Registros obligatorios</w:t>
      </w:r>
    </w:p>
    <w:p w14:paraId="360F63B8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Registro de recepción.</w:t>
      </w:r>
    </w:p>
    <w:p w14:paraId="07715347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Cadena de custodia.</w:t>
      </w:r>
    </w:p>
    <w:p w14:paraId="21947E92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Desviación.</w:t>
      </w:r>
    </w:p>
    <w:p w14:paraId="58C86E38" w14:textId="77777777" w:rsidR="00343C81" w:rsidRPr="00B470F1" w:rsidRDefault="00343C81" w:rsidP="00343C8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Indicadores y control</w:t>
      </w:r>
    </w:p>
    <w:p w14:paraId="1C39499D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Recepciones dentro de</w:t>
      </w:r>
      <w:r>
        <w:rPr>
          <w:color w:val="000000" w:themeColor="text1"/>
          <w:lang w:val="es-ES"/>
        </w:rPr>
        <w:t>l</w:t>
      </w:r>
      <w:r w:rsidRPr="00B470F1">
        <w:rPr>
          <w:color w:val="000000" w:themeColor="text1"/>
          <w:lang w:val="es-ES"/>
        </w:rPr>
        <w:t xml:space="preserve"> tiempo objetivo.</w:t>
      </w:r>
    </w:p>
    <w:p w14:paraId="5CC9DBC2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Muestras no conformes.</w:t>
      </w:r>
    </w:p>
    <w:p w14:paraId="47008581" w14:textId="77777777" w:rsidR="00343C81" w:rsidRPr="00B470F1" w:rsidRDefault="00343C81" w:rsidP="00343C8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Referencias y documentos relacionados</w:t>
      </w:r>
    </w:p>
    <w:p w14:paraId="7A0E9282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1C176D9B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1480/2011 - Guía para Investigaciones en Salud Humana.</w:t>
      </w:r>
    </w:p>
    <w:p w14:paraId="49D487D5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Ley 25.326 - Protección de los Datos Personales.</w:t>
      </w:r>
    </w:p>
    <w:p w14:paraId="796BDCE1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26.529 y </w:t>
      </w:r>
      <w:r>
        <w:rPr>
          <w:color w:val="000000" w:themeColor="text1"/>
          <w:lang w:val="es-ES"/>
        </w:rPr>
        <w:t xml:space="preserve">su </w:t>
      </w:r>
      <w:r w:rsidRPr="00B470F1">
        <w:rPr>
          <w:color w:val="000000" w:themeColor="text1"/>
          <w:lang w:val="es-ES"/>
        </w:rPr>
        <w:t>modificatoria</w:t>
      </w:r>
      <w:r>
        <w:rPr>
          <w:color w:val="000000" w:themeColor="text1"/>
          <w:lang w:val="es-ES"/>
        </w:rPr>
        <w:t>,</w:t>
      </w:r>
      <w:r w:rsidRPr="00B470F1">
        <w:rPr>
          <w:color w:val="000000" w:themeColor="text1"/>
          <w:lang w:val="es-ES"/>
        </w:rPr>
        <w:t xml:space="preserve"> Ley 26.742 - Derechos del Paciente.</w:t>
      </w:r>
    </w:p>
    <w:p w14:paraId="3A059029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Código Civil y Comercial de la Nación, arts. 58 y 59, cuando resulte aplicable.</w:t>
      </w:r>
    </w:p>
    <w:p w14:paraId="02784872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</w:t>
      </w:r>
      <w:r>
        <w:rPr>
          <w:color w:val="000000" w:themeColor="text1"/>
          <w:lang w:val="es-ES"/>
        </w:rPr>
        <w:t xml:space="preserve">de la </w:t>
      </w:r>
      <w:r w:rsidRPr="00B470F1">
        <w:rPr>
          <w:color w:val="000000" w:themeColor="text1"/>
          <w:lang w:val="es-ES"/>
        </w:rPr>
        <w:t>Provincia de Buenos Aires 15.462 y Decreto 3389/2024 - Investigación en Salud.</w:t>
      </w:r>
    </w:p>
    <w:p w14:paraId="5B7FDED5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ISO 20387:2018 e ISBER Best </w:t>
      </w:r>
      <w:proofErr w:type="spellStart"/>
      <w:r w:rsidRPr="00B470F1">
        <w:rPr>
          <w:color w:val="000000" w:themeColor="text1"/>
          <w:lang w:val="es-ES"/>
        </w:rPr>
        <w:t>Practices</w:t>
      </w:r>
      <w:proofErr w:type="spellEnd"/>
      <w:r w:rsidRPr="00B470F1">
        <w:rPr>
          <w:color w:val="000000" w:themeColor="text1"/>
          <w:lang w:val="es-ES"/>
        </w:rPr>
        <w:t xml:space="preserve">, como referencias de buenas prácticas (no sustituyen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normativa aplicable).</w:t>
      </w:r>
    </w:p>
    <w:p w14:paraId="53946BAB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Disposición ANMAT 7516/2025 e ICH E6(R3), exclusivamente para estudios de farmacología clínica alcanzados por dicha disposición.</w:t>
      </w:r>
    </w:p>
    <w:p w14:paraId="7FF36B3D" w14:textId="77777777" w:rsidR="00343C81" w:rsidRPr="00B470F1" w:rsidRDefault="00343C81" w:rsidP="00343C8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Manual de laboratorio, protocolo, contrato y requisitos del patrocinador/CRO vigentes para cada estudio.</w:t>
      </w:r>
    </w:p>
    <w:p w14:paraId="6A53947F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E5D6F3A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495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C81"/>
    <w:rsid w:val="0012748E"/>
    <w:rsid w:val="001517D0"/>
    <w:rsid w:val="002A0105"/>
    <w:rsid w:val="003040C5"/>
    <w:rsid w:val="00343C81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368B29"/>
  <w15:chartTrackingRefBased/>
  <w15:docId w15:val="{A86D135D-41D7-2E41-AA7E-A4FCF3F8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C81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3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C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C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C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C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C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C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C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C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C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C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C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C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C81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343C81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343C81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2026-09-04T21:05:00Z</dcterms:created>
  <dcterms:modified xsi:type="dcterms:W3CDTF">2026-09-04T21:05:00Z</dcterms:modified>
</cp:coreProperties>
</file>