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E87547" w14:textId="77777777" w:rsidR="004739B1" w:rsidRPr="00B470F1" w:rsidRDefault="004739B1" w:rsidP="004739B1">
      <w:pPr>
        <w:pStyle w:val="Ttulo1"/>
        <w:jc w:val="center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BB-CLI-003 - Cadena de custodia para muestras de industria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59"/>
        <w:gridCol w:w="2194"/>
        <w:gridCol w:w="2141"/>
        <w:gridCol w:w="2234"/>
      </w:tblGrid>
      <w:tr w:rsidR="004739B1" w:rsidRPr="00B470F1" w14:paraId="4A3DD356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08E83077" w14:textId="77777777" w:rsidR="004739B1" w:rsidRPr="00B470F1" w:rsidRDefault="004739B1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Código</w:t>
            </w:r>
          </w:p>
        </w:tc>
        <w:tc>
          <w:tcPr>
            <w:tcW w:w="2535" w:type="dxa"/>
            <w:vAlign w:val="center"/>
          </w:tcPr>
          <w:p w14:paraId="4E97E885" w14:textId="77777777" w:rsidR="004739B1" w:rsidRPr="00B470F1" w:rsidRDefault="004739B1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BB-CLI-003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34C0255C" w14:textId="77777777" w:rsidR="004739B1" w:rsidRPr="00B470F1" w:rsidRDefault="004739B1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Versión</w:t>
            </w:r>
          </w:p>
        </w:tc>
        <w:tc>
          <w:tcPr>
            <w:tcW w:w="2535" w:type="dxa"/>
            <w:vAlign w:val="center"/>
          </w:tcPr>
          <w:p w14:paraId="4A661B9B" w14:textId="77777777" w:rsidR="004739B1" w:rsidRPr="00B470F1" w:rsidRDefault="004739B1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0.1</w:t>
            </w:r>
          </w:p>
        </w:tc>
      </w:tr>
      <w:tr w:rsidR="004739B1" w:rsidRPr="00B470F1" w14:paraId="690201EC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40E175C4" w14:textId="77777777" w:rsidR="004739B1" w:rsidRPr="00B470F1" w:rsidRDefault="004739B1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Título</w:t>
            </w:r>
          </w:p>
        </w:tc>
        <w:tc>
          <w:tcPr>
            <w:tcW w:w="2535" w:type="dxa"/>
            <w:vAlign w:val="center"/>
          </w:tcPr>
          <w:p w14:paraId="246FACC8" w14:textId="77777777" w:rsidR="004739B1" w:rsidRPr="00B470F1" w:rsidRDefault="004739B1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Cadena de custodia para muestras de industria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6B44408E" w14:textId="77777777" w:rsidR="004739B1" w:rsidRPr="00B470F1" w:rsidRDefault="004739B1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Vigencia</w:t>
            </w:r>
          </w:p>
        </w:tc>
        <w:tc>
          <w:tcPr>
            <w:tcW w:w="2535" w:type="dxa"/>
            <w:vAlign w:val="center"/>
          </w:tcPr>
          <w:p w14:paraId="346D87DD" w14:textId="77777777" w:rsidR="004739B1" w:rsidRPr="00B470F1" w:rsidRDefault="004739B1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A definir tras aprobación</w:t>
            </w:r>
          </w:p>
        </w:tc>
      </w:tr>
      <w:tr w:rsidR="004739B1" w:rsidRPr="00B470F1" w14:paraId="47E02B20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0D10B65F" w14:textId="77777777" w:rsidR="004739B1" w:rsidRPr="00B470F1" w:rsidRDefault="004739B1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Aplicación</w:t>
            </w:r>
          </w:p>
        </w:tc>
        <w:tc>
          <w:tcPr>
            <w:tcW w:w="2535" w:type="dxa"/>
            <w:vAlign w:val="center"/>
          </w:tcPr>
          <w:p w14:paraId="553102BF" w14:textId="77777777" w:rsidR="004739B1" w:rsidRPr="00B470F1" w:rsidRDefault="004739B1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Unidad B - Servicios / Industria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544347FB" w14:textId="77777777" w:rsidR="004739B1" w:rsidRPr="00B470F1" w:rsidRDefault="004739B1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Elaborado por</w:t>
            </w:r>
          </w:p>
        </w:tc>
        <w:tc>
          <w:tcPr>
            <w:tcW w:w="2535" w:type="dxa"/>
            <w:vAlign w:val="center"/>
          </w:tcPr>
          <w:p w14:paraId="342D45EC" w14:textId="77777777" w:rsidR="004739B1" w:rsidRPr="00B470F1" w:rsidRDefault="004739B1" w:rsidP="002624BC">
            <w:pPr>
              <w:jc w:val="both"/>
              <w:rPr>
                <w:color w:val="000000" w:themeColor="text1"/>
                <w:lang w:val="es-ES"/>
              </w:rPr>
            </w:pPr>
            <w:r w:rsidRPr="0010689E">
              <w:rPr>
                <w:rFonts w:cs="Arial"/>
                <w:color w:val="000000" w:themeColor="text1"/>
                <w:sz w:val="17"/>
                <w:lang w:val="es-ES"/>
              </w:rPr>
              <w:t>Dr. Martín Ledesma</w:t>
            </w:r>
          </w:p>
        </w:tc>
      </w:tr>
      <w:tr w:rsidR="004739B1" w:rsidRPr="00B470F1" w14:paraId="1F3862DE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7DE353E5" w14:textId="77777777" w:rsidR="004739B1" w:rsidRPr="00B470F1" w:rsidRDefault="004739B1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Aprobación</w:t>
            </w:r>
          </w:p>
        </w:tc>
        <w:tc>
          <w:tcPr>
            <w:tcW w:w="2535" w:type="dxa"/>
            <w:vAlign w:val="center"/>
          </w:tcPr>
          <w:p w14:paraId="15168044" w14:textId="77777777" w:rsidR="004739B1" w:rsidRPr="00B470F1" w:rsidRDefault="004739B1" w:rsidP="002624BC">
            <w:pPr>
              <w:jc w:val="both"/>
              <w:rPr>
                <w:color w:val="000000" w:themeColor="text1"/>
                <w:lang w:val="es-ES"/>
              </w:rPr>
            </w:pPr>
            <w:r w:rsidRPr="0010689E">
              <w:rPr>
                <w:rFonts w:cs="Arial"/>
                <w:color w:val="000000" w:themeColor="text1"/>
                <w:sz w:val="17"/>
                <w:lang w:val="es-ES"/>
              </w:rPr>
              <w:t>Coordinadora CEMET Viviana Fanessi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1B435EC9" w14:textId="77777777" w:rsidR="004739B1" w:rsidRPr="00B470F1" w:rsidRDefault="004739B1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Revisión</w:t>
            </w:r>
          </w:p>
        </w:tc>
        <w:tc>
          <w:tcPr>
            <w:tcW w:w="2535" w:type="dxa"/>
            <w:vAlign w:val="center"/>
          </w:tcPr>
          <w:p w14:paraId="029813B3" w14:textId="77777777" w:rsidR="004739B1" w:rsidRPr="00B470F1" w:rsidRDefault="004739B1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Anual o ante cambio regulatorio</w:t>
            </w:r>
          </w:p>
        </w:tc>
      </w:tr>
      <w:tr w:rsidR="004739B1" w:rsidRPr="00B470F1" w14:paraId="2F7D22F7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513591E7" w14:textId="77777777" w:rsidR="004739B1" w:rsidRPr="00B470F1" w:rsidRDefault="004739B1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Documentación</w:t>
            </w:r>
          </w:p>
        </w:tc>
        <w:tc>
          <w:tcPr>
            <w:tcW w:w="2535" w:type="dxa"/>
            <w:vAlign w:val="center"/>
          </w:tcPr>
          <w:p w14:paraId="0F2B1EB1" w14:textId="77777777" w:rsidR="004739B1" w:rsidRPr="00B470F1" w:rsidRDefault="004739B1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Registro electrónico y/o formulario controlado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044522A1" w14:textId="77777777" w:rsidR="004739B1" w:rsidRPr="00B470F1" w:rsidRDefault="004739B1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Sistema</w:t>
            </w:r>
          </w:p>
        </w:tc>
        <w:tc>
          <w:tcPr>
            <w:tcW w:w="2535" w:type="dxa"/>
            <w:vAlign w:val="center"/>
          </w:tcPr>
          <w:p w14:paraId="6B4E220C" w14:textId="77777777" w:rsidR="004739B1" w:rsidRPr="00B470F1" w:rsidRDefault="004739B1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NORAYBANKS + registros institucionales</w:t>
            </w:r>
          </w:p>
        </w:tc>
      </w:tr>
    </w:tbl>
    <w:p w14:paraId="6EB33A44" w14:textId="77777777" w:rsidR="004739B1" w:rsidRPr="00B470F1" w:rsidRDefault="004739B1" w:rsidP="004739B1">
      <w:pPr>
        <w:jc w:val="both"/>
        <w:rPr>
          <w:color w:val="000000" w:themeColor="text1"/>
          <w:lang w:val="es-ES"/>
        </w:rPr>
      </w:pPr>
    </w:p>
    <w:p w14:paraId="6CCF290E" w14:textId="77777777" w:rsidR="004739B1" w:rsidRPr="00B470F1" w:rsidRDefault="004739B1" w:rsidP="004739B1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Propósito</w:t>
      </w:r>
    </w:p>
    <w:p w14:paraId="6266DC92" w14:textId="77777777" w:rsidR="004739B1" w:rsidRPr="00B470F1" w:rsidRDefault="004739B1" w:rsidP="004739B1">
      <w:pPr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Mantener evidencia continua de </w:t>
      </w:r>
      <w:r>
        <w:rPr>
          <w:color w:val="000000" w:themeColor="text1"/>
          <w:lang w:val="es-ES"/>
        </w:rPr>
        <w:t xml:space="preserve">la </w:t>
      </w:r>
      <w:r w:rsidRPr="00B470F1">
        <w:rPr>
          <w:color w:val="000000" w:themeColor="text1"/>
          <w:lang w:val="es-ES"/>
        </w:rPr>
        <w:t>posesión y</w:t>
      </w:r>
      <w:r>
        <w:rPr>
          <w:color w:val="000000" w:themeColor="text1"/>
          <w:lang w:val="es-ES"/>
        </w:rPr>
        <w:t xml:space="preserve"> los</w:t>
      </w:r>
      <w:r w:rsidRPr="00B470F1">
        <w:rPr>
          <w:color w:val="000000" w:themeColor="text1"/>
          <w:lang w:val="es-ES"/>
        </w:rPr>
        <w:t xml:space="preserve"> movimientos.</w:t>
      </w:r>
    </w:p>
    <w:p w14:paraId="1F28A8D4" w14:textId="77777777" w:rsidR="004739B1" w:rsidRPr="00B470F1" w:rsidRDefault="004739B1" w:rsidP="004739B1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Alcance</w:t>
      </w:r>
    </w:p>
    <w:p w14:paraId="75E1940B" w14:textId="77777777" w:rsidR="004739B1" w:rsidRPr="00B470F1" w:rsidRDefault="004739B1" w:rsidP="004739B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Desde </w:t>
      </w:r>
      <w:r>
        <w:rPr>
          <w:color w:val="000000" w:themeColor="text1"/>
          <w:lang w:val="es-ES"/>
        </w:rPr>
        <w:t xml:space="preserve">la </w:t>
      </w:r>
      <w:r w:rsidRPr="00B470F1">
        <w:rPr>
          <w:color w:val="000000" w:themeColor="text1"/>
          <w:lang w:val="es-ES"/>
        </w:rPr>
        <w:t xml:space="preserve">recepción hasta </w:t>
      </w:r>
      <w:r>
        <w:rPr>
          <w:color w:val="000000" w:themeColor="text1"/>
          <w:lang w:val="es-ES"/>
        </w:rPr>
        <w:t xml:space="preserve">la </w:t>
      </w:r>
      <w:r w:rsidRPr="00B470F1">
        <w:rPr>
          <w:color w:val="000000" w:themeColor="text1"/>
          <w:lang w:val="es-ES"/>
        </w:rPr>
        <w:t>destrucción o</w:t>
      </w:r>
      <w:r>
        <w:rPr>
          <w:color w:val="000000" w:themeColor="text1"/>
          <w:lang w:val="es-ES"/>
        </w:rPr>
        <w:t xml:space="preserve"> la</w:t>
      </w:r>
      <w:r w:rsidRPr="00B470F1">
        <w:rPr>
          <w:color w:val="000000" w:themeColor="text1"/>
          <w:lang w:val="es-ES"/>
        </w:rPr>
        <w:t xml:space="preserve"> entrega final.</w:t>
      </w:r>
    </w:p>
    <w:p w14:paraId="69F971B0" w14:textId="77777777" w:rsidR="004739B1" w:rsidRPr="00B470F1" w:rsidRDefault="004739B1" w:rsidP="004739B1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Responsabilidades</w:t>
      </w:r>
    </w:p>
    <w:p w14:paraId="218B6B58" w14:textId="77777777" w:rsidR="004739B1" w:rsidRPr="00B470F1" w:rsidRDefault="004739B1" w:rsidP="004739B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Técnico: ejecuta y registra movimientos.</w:t>
      </w:r>
    </w:p>
    <w:p w14:paraId="7CA1D2DA" w14:textId="77777777" w:rsidR="004739B1" w:rsidRPr="00B470F1" w:rsidRDefault="004739B1" w:rsidP="004739B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Director: revisa discrepancias.</w:t>
      </w:r>
    </w:p>
    <w:p w14:paraId="6722E4C3" w14:textId="77777777" w:rsidR="004739B1" w:rsidRPr="00B470F1" w:rsidRDefault="004739B1" w:rsidP="004739B1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Definiciones / criterios</w:t>
      </w:r>
    </w:p>
    <w:p w14:paraId="40AEF883" w14:textId="77777777" w:rsidR="004739B1" w:rsidRPr="00B470F1" w:rsidRDefault="004739B1" w:rsidP="004739B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Cada transferencia de responsabilidad debe quedar registrada con fecha</w:t>
      </w:r>
      <w:r>
        <w:rPr>
          <w:color w:val="000000" w:themeColor="text1"/>
          <w:lang w:val="es-ES"/>
        </w:rPr>
        <w:t xml:space="preserve"> y </w:t>
      </w:r>
      <w:r w:rsidRPr="00B470F1">
        <w:rPr>
          <w:color w:val="000000" w:themeColor="text1"/>
          <w:lang w:val="es-ES"/>
        </w:rPr>
        <w:t>hora, identidad</w:t>
      </w:r>
      <w:r>
        <w:rPr>
          <w:color w:val="000000" w:themeColor="text1"/>
          <w:lang w:val="es-ES"/>
        </w:rPr>
        <w:t xml:space="preserve"> y rol,</w:t>
      </w:r>
      <w:r w:rsidRPr="00B470F1">
        <w:rPr>
          <w:color w:val="000000" w:themeColor="text1"/>
          <w:lang w:val="es-ES"/>
        </w:rPr>
        <w:t xml:space="preserve"> y estado de </w:t>
      </w:r>
      <w:r>
        <w:rPr>
          <w:color w:val="000000" w:themeColor="text1"/>
          <w:lang w:val="es-ES"/>
        </w:rPr>
        <w:t xml:space="preserve">la </w:t>
      </w:r>
      <w:r w:rsidRPr="00B470F1">
        <w:rPr>
          <w:color w:val="000000" w:themeColor="text1"/>
          <w:lang w:val="es-ES"/>
        </w:rPr>
        <w:t>muestra.</w:t>
      </w:r>
    </w:p>
    <w:p w14:paraId="1380941B" w14:textId="77777777" w:rsidR="004739B1" w:rsidRPr="00B470F1" w:rsidRDefault="004739B1" w:rsidP="004739B1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Procedimiento</w:t>
      </w:r>
    </w:p>
    <w:p w14:paraId="46BE9378" w14:textId="77777777" w:rsidR="004739B1" w:rsidRPr="00B470F1" w:rsidRDefault="004739B1" w:rsidP="004739B1">
      <w:pPr>
        <w:ind w:left="312" w:hanging="255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1. Abrir cadena al recibir.</w:t>
      </w:r>
    </w:p>
    <w:p w14:paraId="182C3D42" w14:textId="77777777" w:rsidR="004739B1" w:rsidRPr="00B470F1" w:rsidRDefault="004739B1" w:rsidP="004739B1">
      <w:pPr>
        <w:ind w:left="312" w:hanging="255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2. Registrar ubicación inicial.</w:t>
      </w:r>
    </w:p>
    <w:p w14:paraId="7436DE92" w14:textId="77777777" w:rsidR="004739B1" w:rsidRPr="00B470F1" w:rsidRDefault="004739B1" w:rsidP="004739B1">
      <w:pPr>
        <w:ind w:left="312" w:hanging="255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3. Registrar cada retiro, reubicación, preparación y entrega.</w:t>
      </w:r>
    </w:p>
    <w:p w14:paraId="78057FD2" w14:textId="77777777" w:rsidR="004739B1" w:rsidRPr="00B470F1" w:rsidRDefault="004739B1" w:rsidP="004739B1">
      <w:pPr>
        <w:ind w:left="312" w:hanging="255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4. Registrar responsable y destino.</w:t>
      </w:r>
    </w:p>
    <w:p w14:paraId="06059401" w14:textId="77777777" w:rsidR="004739B1" w:rsidRPr="00B470F1" w:rsidRDefault="004739B1" w:rsidP="004739B1">
      <w:pPr>
        <w:ind w:left="312" w:hanging="255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5. Conciliar cadena con NORAYBANKS.</w:t>
      </w:r>
    </w:p>
    <w:p w14:paraId="1F0B8F75" w14:textId="77777777" w:rsidR="004739B1" w:rsidRPr="00B470F1" w:rsidRDefault="004739B1" w:rsidP="004739B1">
      <w:pPr>
        <w:ind w:left="312" w:hanging="255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6. Cerrar al destruir o </w:t>
      </w:r>
      <w:r>
        <w:rPr>
          <w:color w:val="000000" w:themeColor="text1"/>
          <w:lang w:val="es-ES"/>
        </w:rPr>
        <w:t xml:space="preserve">al </w:t>
      </w:r>
      <w:r w:rsidRPr="00B470F1">
        <w:rPr>
          <w:color w:val="000000" w:themeColor="text1"/>
          <w:lang w:val="es-ES"/>
        </w:rPr>
        <w:t>confirmar</w:t>
      </w:r>
      <w:r>
        <w:rPr>
          <w:color w:val="000000" w:themeColor="text1"/>
          <w:lang w:val="es-ES"/>
        </w:rPr>
        <w:t xml:space="preserve"> la</w:t>
      </w:r>
      <w:r w:rsidRPr="00B470F1">
        <w:rPr>
          <w:color w:val="000000" w:themeColor="text1"/>
          <w:lang w:val="es-ES"/>
        </w:rPr>
        <w:t xml:space="preserve"> recepción final.</w:t>
      </w:r>
    </w:p>
    <w:p w14:paraId="198B2B9C" w14:textId="77777777" w:rsidR="004739B1" w:rsidRPr="00B470F1" w:rsidRDefault="004739B1" w:rsidP="004739B1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Registros obligatorios</w:t>
      </w:r>
    </w:p>
    <w:p w14:paraId="0B14CAAE" w14:textId="77777777" w:rsidR="004739B1" w:rsidRPr="00B470F1" w:rsidRDefault="004739B1" w:rsidP="004739B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Formulario de cadena de custodia.</w:t>
      </w:r>
    </w:p>
    <w:p w14:paraId="37B021DE" w14:textId="77777777" w:rsidR="004739B1" w:rsidRPr="00B470F1" w:rsidRDefault="004739B1" w:rsidP="004739B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Bitácora NORAYBANKS.</w:t>
      </w:r>
    </w:p>
    <w:p w14:paraId="7B102560" w14:textId="77777777" w:rsidR="004739B1" w:rsidRPr="00B470F1" w:rsidRDefault="004739B1" w:rsidP="004739B1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lastRenderedPageBreak/>
        <w:t>Indicadores y control</w:t>
      </w:r>
    </w:p>
    <w:p w14:paraId="3576CB03" w14:textId="77777777" w:rsidR="004739B1" w:rsidRPr="00B470F1" w:rsidRDefault="004739B1" w:rsidP="004739B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Cadenas completas = 100%.</w:t>
      </w:r>
    </w:p>
    <w:p w14:paraId="29570496" w14:textId="77777777" w:rsidR="004739B1" w:rsidRPr="00B470F1" w:rsidRDefault="004739B1" w:rsidP="004739B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Movimientos sin firma/registro = 0.</w:t>
      </w:r>
    </w:p>
    <w:p w14:paraId="0A57C7CF" w14:textId="77777777" w:rsidR="004739B1" w:rsidRPr="00B470F1" w:rsidRDefault="004739B1" w:rsidP="004739B1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Referencias y documentos relacionados</w:t>
      </w:r>
    </w:p>
    <w:p w14:paraId="64991774" w14:textId="77777777" w:rsidR="004739B1" w:rsidRPr="00B470F1" w:rsidRDefault="004739B1" w:rsidP="004739B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Resolución </w:t>
      </w:r>
      <w:r>
        <w:rPr>
          <w:color w:val="000000" w:themeColor="text1"/>
          <w:lang w:val="es-ES"/>
        </w:rPr>
        <w:t xml:space="preserve">del </w:t>
      </w:r>
      <w:r w:rsidRPr="00B470F1">
        <w:rPr>
          <w:color w:val="000000" w:themeColor="text1"/>
          <w:lang w:val="es-ES"/>
        </w:rPr>
        <w:t>Ministerio de Salud de la Nación 2940/2020 - Guía para Biobancos de Muestras Biológicas de Origen Humano con Fines de Investigación.</w:t>
      </w:r>
    </w:p>
    <w:p w14:paraId="6025B360" w14:textId="77777777" w:rsidR="004739B1" w:rsidRPr="00B470F1" w:rsidRDefault="004739B1" w:rsidP="004739B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Resolución </w:t>
      </w:r>
      <w:r>
        <w:rPr>
          <w:color w:val="000000" w:themeColor="text1"/>
          <w:lang w:val="es-ES"/>
        </w:rPr>
        <w:t xml:space="preserve">del </w:t>
      </w:r>
      <w:r w:rsidRPr="00B470F1">
        <w:rPr>
          <w:color w:val="000000" w:themeColor="text1"/>
          <w:lang w:val="es-ES"/>
        </w:rPr>
        <w:t>Ministerio de Salud de la Nación 1480/2011 - Guía para Investigaciones en Salud Humana.</w:t>
      </w:r>
    </w:p>
    <w:p w14:paraId="215F5BD8" w14:textId="77777777" w:rsidR="004739B1" w:rsidRPr="00B470F1" w:rsidRDefault="004739B1" w:rsidP="004739B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Ley 25.326 - Protección de los Datos Personales.</w:t>
      </w:r>
    </w:p>
    <w:p w14:paraId="62532B82" w14:textId="77777777" w:rsidR="004739B1" w:rsidRPr="00B470F1" w:rsidRDefault="004739B1" w:rsidP="004739B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Ley 26.529 y </w:t>
      </w:r>
      <w:r>
        <w:rPr>
          <w:color w:val="000000" w:themeColor="text1"/>
          <w:lang w:val="es-ES"/>
        </w:rPr>
        <w:t xml:space="preserve">su </w:t>
      </w:r>
      <w:r w:rsidRPr="00B470F1">
        <w:rPr>
          <w:color w:val="000000" w:themeColor="text1"/>
          <w:lang w:val="es-ES"/>
        </w:rPr>
        <w:t>modificatoria</w:t>
      </w:r>
      <w:r>
        <w:rPr>
          <w:color w:val="000000" w:themeColor="text1"/>
          <w:lang w:val="es-ES"/>
        </w:rPr>
        <w:t>,</w:t>
      </w:r>
      <w:r w:rsidRPr="00B470F1">
        <w:rPr>
          <w:color w:val="000000" w:themeColor="text1"/>
          <w:lang w:val="es-ES"/>
        </w:rPr>
        <w:t xml:space="preserve"> Ley 26.742 - Derechos del Paciente.</w:t>
      </w:r>
    </w:p>
    <w:p w14:paraId="2BB9035A" w14:textId="77777777" w:rsidR="004739B1" w:rsidRPr="00B470F1" w:rsidRDefault="004739B1" w:rsidP="004739B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Código Civil y Comercial de la Nación, arts. 58 y 59, cuando resulte aplicable.</w:t>
      </w:r>
    </w:p>
    <w:p w14:paraId="73C26776" w14:textId="77777777" w:rsidR="004739B1" w:rsidRPr="00B470F1" w:rsidRDefault="004739B1" w:rsidP="004739B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Ley </w:t>
      </w:r>
      <w:r>
        <w:rPr>
          <w:color w:val="000000" w:themeColor="text1"/>
          <w:lang w:val="es-ES"/>
        </w:rPr>
        <w:t xml:space="preserve">de la </w:t>
      </w:r>
      <w:r w:rsidRPr="00B470F1">
        <w:rPr>
          <w:color w:val="000000" w:themeColor="text1"/>
          <w:lang w:val="es-ES"/>
        </w:rPr>
        <w:t>Provincia de Buenos Aires 15.462 y Decreto 3389/2024 - Investigación en Salud.</w:t>
      </w:r>
    </w:p>
    <w:p w14:paraId="04081CEC" w14:textId="77777777" w:rsidR="004739B1" w:rsidRPr="00B470F1" w:rsidRDefault="004739B1" w:rsidP="004739B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ISO 20387:2018 e ISBER Best </w:t>
      </w:r>
      <w:proofErr w:type="spellStart"/>
      <w:r w:rsidRPr="00B470F1">
        <w:rPr>
          <w:color w:val="000000" w:themeColor="text1"/>
          <w:lang w:val="es-ES"/>
        </w:rPr>
        <w:t>Practices</w:t>
      </w:r>
      <w:proofErr w:type="spellEnd"/>
      <w:r w:rsidRPr="00B470F1">
        <w:rPr>
          <w:color w:val="000000" w:themeColor="text1"/>
          <w:lang w:val="es-ES"/>
        </w:rPr>
        <w:t xml:space="preserve">, como referencias de buenas prácticas (no sustituyen </w:t>
      </w:r>
      <w:r>
        <w:rPr>
          <w:color w:val="000000" w:themeColor="text1"/>
          <w:lang w:val="es-ES"/>
        </w:rPr>
        <w:t xml:space="preserve">la </w:t>
      </w:r>
      <w:r w:rsidRPr="00B470F1">
        <w:rPr>
          <w:color w:val="000000" w:themeColor="text1"/>
          <w:lang w:val="es-ES"/>
        </w:rPr>
        <w:t>normativa aplicable).</w:t>
      </w:r>
    </w:p>
    <w:p w14:paraId="464A315F" w14:textId="77777777" w:rsidR="004739B1" w:rsidRPr="00B470F1" w:rsidRDefault="004739B1" w:rsidP="004739B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Disposición ANMAT 7516/2025 e ICH E6(R3), exclusivamente para estudios de farmacología clínica alcanzados por dicha disposición.</w:t>
      </w:r>
    </w:p>
    <w:p w14:paraId="4AA6D253" w14:textId="2754E6B9" w:rsidR="00C740E2" w:rsidRDefault="004739B1" w:rsidP="004739B1">
      <w:r w:rsidRPr="00B470F1">
        <w:rPr>
          <w:color w:val="000000" w:themeColor="text1"/>
          <w:lang w:val="es-ES"/>
        </w:rPr>
        <w:t>Manual de laboratorio, protocolo, contrato y requisitos del patrocinador/CRO vigentes para cada estudio.</w:t>
      </w:r>
    </w:p>
    <w:sectPr w:rsidR="00C740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38162D4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174956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9B1"/>
    <w:rsid w:val="0012748E"/>
    <w:rsid w:val="001517D0"/>
    <w:rsid w:val="002A0105"/>
    <w:rsid w:val="003040C5"/>
    <w:rsid w:val="004739B1"/>
    <w:rsid w:val="00C7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F0888E"/>
  <w15:chartTrackingRefBased/>
  <w15:docId w15:val="{346D409D-1998-AE44-8A56-2F0299309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9B1"/>
    <w:pPr>
      <w:spacing w:after="100" w:line="276" w:lineRule="auto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73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73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39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3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39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39B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39B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39B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39B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3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73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39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39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39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39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39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39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39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39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3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39B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3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39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39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39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39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3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39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39B1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4739B1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aconcuadrcula">
    <w:name w:val="Table Grid"/>
    <w:basedOn w:val="Tablanormal"/>
    <w:uiPriority w:val="59"/>
    <w:rsid w:val="004739B1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335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Manuel Ledesma</dc:creator>
  <cp:keywords/>
  <dc:description/>
  <cp:lastModifiedBy>Martin Manuel Ledesma</cp:lastModifiedBy>
  <cp:revision>1</cp:revision>
  <dcterms:created xsi:type="dcterms:W3CDTF">2026-09-04T21:05:00Z</dcterms:created>
  <dcterms:modified xsi:type="dcterms:W3CDTF">2026-09-04T21:06:00Z</dcterms:modified>
</cp:coreProperties>
</file>