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93FEDD" w14:textId="77777777" w:rsidR="00D6099F" w:rsidRPr="00B470F1" w:rsidRDefault="00D6099F" w:rsidP="00D6099F">
      <w:pPr>
        <w:pStyle w:val="Ttulo1"/>
        <w:jc w:val="center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BB-CLI-004 - Gestión de desviaciones de protocolo y no conformidades del patrocinador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2211"/>
        <w:gridCol w:w="2134"/>
        <w:gridCol w:w="2228"/>
      </w:tblGrid>
      <w:tr w:rsidR="00D6099F" w:rsidRPr="00B470F1" w14:paraId="395E957D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3EA5514E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535" w:type="dxa"/>
            <w:vAlign w:val="center"/>
          </w:tcPr>
          <w:p w14:paraId="672D0243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BB-CLI-004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44BCB7E1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535" w:type="dxa"/>
            <w:vAlign w:val="center"/>
          </w:tcPr>
          <w:p w14:paraId="16E71007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D6099F" w:rsidRPr="00B470F1" w14:paraId="393A09CE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7C99B80B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535" w:type="dxa"/>
            <w:vAlign w:val="center"/>
          </w:tcPr>
          <w:p w14:paraId="303683D2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Gestión de desviaciones de protocolo y no conformidades del patrocinador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66BD280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535" w:type="dxa"/>
            <w:vAlign w:val="center"/>
          </w:tcPr>
          <w:p w14:paraId="61774FB7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D6099F" w:rsidRPr="00B470F1" w14:paraId="6E2D15D6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0296F403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535" w:type="dxa"/>
            <w:vAlign w:val="center"/>
          </w:tcPr>
          <w:p w14:paraId="741BD833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Unidad B - Servicios / Industria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6B4216CF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535" w:type="dxa"/>
            <w:vAlign w:val="center"/>
          </w:tcPr>
          <w:p w14:paraId="617204C0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D6099F" w:rsidRPr="00B470F1" w14:paraId="1B17D2FE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52AB95A6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535" w:type="dxa"/>
            <w:vAlign w:val="center"/>
          </w:tcPr>
          <w:p w14:paraId="1B98D228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50C2FBA2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535" w:type="dxa"/>
            <w:vAlign w:val="center"/>
          </w:tcPr>
          <w:p w14:paraId="633C4B0B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D6099F" w:rsidRPr="00B470F1" w14:paraId="016516F5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7C06269F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535" w:type="dxa"/>
            <w:vAlign w:val="center"/>
          </w:tcPr>
          <w:p w14:paraId="1304A57D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44D6C53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535" w:type="dxa"/>
            <w:vAlign w:val="center"/>
          </w:tcPr>
          <w:p w14:paraId="194183AC" w14:textId="77777777" w:rsidR="00D6099F" w:rsidRPr="00B470F1" w:rsidRDefault="00D6099F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1E2E74B2" w14:textId="77777777" w:rsidR="00D6099F" w:rsidRPr="00B470F1" w:rsidRDefault="00D6099F" w:rsidP="00D6099F">
      <w:pPr>
        <w:jc w:val="both"/>
        <w:rPr>
          <w:color w:val="000000" w:themeColor="text1"/>
          <w:lang w:val="es-ES"/>
        </w:rPr>
      </w:pPr>
    </w:p>
    <w:p w14:paraId="773F9346" w14:textId="77777777" w:rsidR="00D6099F" w:rsidRPr="00B470F1" w:rsidRDefault="00D6099F" w:rsidP="00D6099F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Propósito</w:t>
      </w:r>
    </w:p>
    <w:p w14:paraId="5D01DC20" w14:textId="77777777" w:rsidR="00D6099F" w:rsidRPr="00B470F1" w:rsidRDefault="00D6099F" w:rsidP="00D6099F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Gestionar desvíos conforme al protocolo y requerimientos del </w:t>
      </w:r>
      <w:proofErr w:type="gramStart"/>
      <w:r w:rsidRPr="00B470F1">
        <w:rPr>
          <w:color w:val="000000" w:themeColor="text1"/>
          <w:lang w:val="es-ES"/>
        </w:rPr>
        <w:t>sponsor</w:t>
      </w:r>
      <w:proofErr w:type="gramEnd"/>
      <w:r w:rsidRPr="00B470F1">
        <w:rPr>
          <w:color w:val="000000" w:themeColor="text1"/>
          <w:lang w:val="es-ES"/>
        </w:rPr>
        <w:t>/CRO.</w:t>
      </w:r>
    </w:p>
    <w:p w14:paraId="2B66AB3E" w14:textId="77777777" w:rsidR="00D6099F" w:rsidRPr="00B470F1" w:rsidRDefault="00D6099F" w:rsidP="00D6099F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Alcance</w:t>
      </w:r>
    </w:p>
    <w:p w14:paraId="1CC4276B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Temperatura, tiempos, volumen, identificación, procesamiento, almacenamiento, documentación o envío.</w:t>
      </w:r>
    </w:p>
    <w:p w14:paraId="2C28E8B2" w14:textId="77777777" w:rsidR="00D6099F" w:rsidRPr="00B470F1" w:rsidRDefault="00D6099F" w:rsidP="00D6099F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Responsabilidades</w:t>
      </w:r>
    </w:p>
    <w:p w14:paraId="3873D0AD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Técnico: contiene y registra.</w:t>
      </w:r>
    </w:p>
    <w:p w14:paraId="4E1958C9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Director: evalúa </w:t>
      </w:r>
      <w:r>
        <w:rPr>
          <w:color w:val="000000" w:themeColor="text1"/>
          <w:lang w:val="es-ES"/>
        </w:rPr>
        <w:t xml:space="preserve">el </w:t>
      </w:r>
      <w:r w:rsidRPr="00B470F1">
        <w:rPr>
          <w:color w:val="000000" w:themeColor="text1"/>
          <w:lang w:val="es-ES"/>
        </w:rPr>
        <w:t>impacto del Biobanco.</w:t>
      </w:r>
    </w:p>
    <w:p w14:paraId="3D6FEBFD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Patrocinador/CRO: determina acciones específicas cuando corresponda.</w:t>
      </w:r>
    </w:p>
    <w:p w14:paraId="09BD2201" w14:textId="77777777" w:rsidR="00D6099F" w:rsidRPr="00B470F1" w:rsidRDefault="00D6099F" w:rsidP="00D6099F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Definiciones / criterios</w:t>
      </w:r>
    </w:p>
    <w:p w14:paraId="37CE32B7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No descartar ni modificar muestras afectadas hasta recibir instrucci</w:t>
      </w:r>
      <w:r>
        <w:rPr>
          <w:color w:val="000000" w:themeColor="text1"/>
          <w:lang w:val="es-ES"/>
        </w:rPr>
        <w:t>ones</w:t>
      </w:r>
      <w:r w:rsidRPr="00B470F1">
        <w:rPr>
          <w:color w:val="000000" w:themeColor="text1"/>
          <w:lang w:val="es-ES"/>
        </w:rPr>
        <w:t xml:space="preserve"> cuando el protocolo requiera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 xml:space="preserve">decisión del </w:t>
      </w:r>
      <w:proofErr w:type="gramStart"/>
      <w:r w:rsidRPr="00B470F1">
        <w:rPr>
          <w:color w:val="000000" w:themeColor="text1"/>
          <w:lang w:val="es-ES"/>
        </w:rPr>
        <w:t>sponsor</w:t>
      </w:r>
      <w:proofErr w:type="gramEnd"/>
      <w:r w:rsidRPr="00B470F1">
        <w:rPr>
          <w:color w:val="000000" w:themeColor="text1"/>
          <w:lang w:val="es-ES"/>
        </w:rPr>
        <w:t>.</w:t>
      </w:r>
    </w:p>
    <w:p w14:paraId="7C7C72B7" w14:textId="77777777" w:rsidR="00D6099F" w:rsidRPr="00B470F1" w:rsidRDefault="00D6099F" w:rsidP="00D6099F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Procedimiento</w:t>
      </w:r>
    </w:p>
    <w:p w14:paraId="4D49C752" w14:textId="77777777" w:rsidR="00D6099F" w:rsidRPr="00B470F1" w:rsidRDefault="00D6099F" w:rsidP="00D6099F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1. Contener muestra/evento.</w:t>
      </w:r>
    </w:p>
    <w:p w14:paraId="227083C3" w14:textId="77777777" w:rsidR="00D6099F" w:rsidRPr="00B470F1" w:rsidRDefault="00D6099F" w:rsidP="00D6099F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2. Registrar desviación con evidencia.</w:t>
      </w:r>
    </w:p>
    <w:p w14:paraId="517B83B1" w14:textId="77777777" w:rsidR="00D6099F" w:rsidRPr="00B470F1" w:rsidRDefault="00D6099F" w:rsidP="00D6099F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3. Notificar según </w:t>
      </w:r>
      <w:r>
        <w:rPr>
          <w:color w:val="000000" w:themeColor="text1"/>
          <w:lang w:val="es-ES"/>
        </w:rPr>
        <w:t xml:space="preserve">los </w:t>
      </w:r>
      <w:r w:rsidRPr="00B470F1">
        <w:rPr>
          <w:color w:val="000000" w:themeColor="text1"/>
          <w:lang w:val="es-ES"/>
        </w:rPr>
        <w:t>contactos y</w:t>
      </w:r>
      <w:r>
        <w:rPr>
          <w:color w:val="000000" w:themeColor="text1"/>
          <w:lang w:val="es-ES"/>
        </w:rPr>
        <w:t xml:space="preserve"> los</w:t>
      </w:r>
      <w:r w:rsidRPr="00B470F1">
        <w:rPr>
          <w:color w:val="000000" w:themeColor="text1"/>
          <w:lang w:val="es-ES"/>
        </w:rPr>
        <w:t xml:space="preserve"> tiempos del estudio.</w:t>
      </w:r>
    </w:p>
    <w:p w14:paraId="0A77EB74" w14:textId="77777777" w:rsidR="00D6099F" w:rsidRPr="00B470F1" w:rsidRDefault="00D6099F" w:rsidP="00D6099F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4. Evaluar </w:t>
      </w:r>
      <w:r>
        <w:rPr>
          <w:color w:val="000000" w:themeColor="text1"/>
          <w:lang w:val="es-ES"/>
        </w:rPr>
        <w:t xml:space="preserve">el </w:t>
      </w:r>
      <w:r w:rsidRPr="00B470F1">
        <w:rPr>
          <w:color w:val="000000" w:themeColor="text1"/>
          <w:lang w:val="es-ES"/>
        </w:rPr>
        <w:t>impacto y seguir</w:t>
      </w:r>
      <w:r>
        <w:rPr>
          <w:color w:val="000000" w:themeColor="text1"/>
          <w:lang w:val="es-ES"/>
        </w:rPr>
        <w:t xml:space="preserve"> las</w:t>
      </w:r>
      <w:r w:rsidRPr="00B470F1">
        <w:rPr>
          <w:color w:val="000000" w:themeColor="text1"/>
          <w:lang w:val="es-ES"/>
        </w:rPr>
        <w:t xml:space="preserve"> instrucciones documentadas.</w:t>
      </w:r>
    </w:p>
    <w:p w14:paraId="359085ED" w14:textId="77777777" w:rsidR="00D6099F" w:rsidRPr="00B470F1" w:rsidRDefault="00D6099F" w:rsidP="00D6099F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5. Implementar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CAPA interna si la causa pertenece al Biobanco.</w:t>
      </w:r>
    </w:p>
    <w:p w14:paraId="046EA533" w14:textId="77777777" w:rsidR="00D6099F" w:rsidRPr="00B470F1" w:rsidRDefault="00D6099F" w:rsidP="00D6099F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6. Cerrar con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documentación del patrocinador cuando aplique.</w:t>
      </w:r>
    </w:p>
    <w:p w14:paraId="23C44FAC" w14:textId="77777777" w:rsidR="00D6099F" w:rsidRPr="00B470F1" w:rsidRDefault="00D6099F" w:rsidP="00D6099F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lastRenderedPageBreak/>
        <w:t>Registros obligatorios</w:t>
      </w:r>
    </w:p>
    <w:p w14:paraId="3D315187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Desviación del protocolo.</w:t>
      </w:r>
    </w:p>
    <w:p w14:paraId="28116BEE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Correspondencia con </w:t>
      </w:r>
      <w:proofErr w:type="gramStart"/>
      <w:r w:rsidRPr="00B470F1">
        <w:rPr>
          <w:color w:val="000000" w:themeColor="text1"/>
          <w:lang w:val="es-ES"/>
        </w:rPr>
        <w:t>sponsor</w:t>
      </w:r>
      <w:proofErr w:type="gramEnd"/>
      <w:r w:rsidRPr="00B470F1">
        <w:rPr>
          <w:color w:val="000000" w:themeColor="text1"/>
          <w:lang w:val="es-ES"/>
        </w:rPr>
        <w:t>/CRO.</w:t>
      </w:r>
    </w:p>
    <w:p w14:paraId="3F6652AB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CAPA.</w:t>
      </w:r>
    </w:p>
    <w:p w14:paraId="537E2F5B" w14:textId="77777777" w:rsidR="00D6099F" w:rsidRPr="00B470F1" w:rsidRDefault="00D6099F" w:rsidP="00D6099F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Indicadores y control</w:t>
      </w:r>
    </w:p>
    <w:p w14:paraId="2AEB899B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Tiempo de notificación.</w:t>
      </w:r>
    </w:p>
    <w:p w14:paraId="290AC717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Reincidencia por causa.</w:t>
      </w:r>
    </w:p>
    <w:p w14:paraId="1D8497A6" w14:textId="77777777" w:rsidR="00D6099F" w:rsidRPr="00B470F1" w:rsidRDefault="00D6099F" w:rsidP="00D6099F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Referencias y documentos relacionados</w:t>
      </w:r>
    </w:p>
    <w:p w14:paraId="02BA6A10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4483A87A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Ministerio de Salud de la Nación 1480/2011 - Guía para Investigaciones en Salud Humana.</w:t>
      </w:r>
    </w:p>
    <w:p w14:paraId="09E320CD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Ley 25.326 - Protección de los Datos Personales.</w:t>
      </w:r>
    </w:p>
    <w:p w14:paraId="696DFFBC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Ley 26.529 y </w:t>
      </w:r>
      <w:r>
        <w:rPr>
          <w:color w:val="000000" w:themeColor="text1"/>
          <w:lang w:val="es-ES"/>
        </w:rPr>
        <w:t xml:space="preserve">su </w:t>
      </w:r>
      <w:r w:rsidRPr="00B470F1">
        <w:rPr>
          <w:color w:val="000000" w:themeColor="text1"/>
          <w:lang w:val="es-ES"/>
        </w:rPr>
        <w:t>modificatoria</w:t>
      </w:r>
      <w:r>
        <w:rPr>
          <w:color w:val="000000" w:themeColor="text1"/>
          <w:lang w:val="es-ES"/>
        </w:rPr>
        <w:t>,</w:t>
      </w:r>
      <w:r w:rsidRPr="00B470F1">
        <w:rPr>
          <w:color w:val="000000" w:themeColor="text1"/>
          <w:lang w:val="es-ES"/>
        </w:rPr>
        <w:t xml:space="preserve"> Ley 26.742 - Derechos del Paciente.</w:t>
      </w:r>
    </w:p>
    <w:p w14:paraId="3BF8B008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Código Civil y Comercial de la Nación, arts. 58 y 59, cuando resulte aplicable.</w:t>
      </w:r>
    </w:p>
    <w:p w14:paraId="4E85E97D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Ley </w:t>
      </w:r>
      <w:r>
        <w:rPr>
          <w:color w:val="000000" w:themeColor="text1"/>
          <w:lang w:val="es-ES"/>
        </w:rPr>
        <w:t xml:space="preserve">de la </w:t>
      </w:r>
      <w:r w:rsidRPr="00B470F1">
        <w:rPr>
          <w:color w:val="000000" w:themeColor="text1"/>
          <w:lang w:val="es-ES"/>
        </w:rPr>
        <w:t>Provincia de Buenos Aires 15.462 y Decreto 3389/2024 - Investigación en Salud.</w:t>
      </w:r>
    </w:p>
    <w:p w14:paraId="025B3E4D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ISO 20387:2018 e ISBER Best </w:t>
      </w:r>
      <w:proofErr w:type="spellStart"/>
      <w:r w:rsidRPr="00B470F1">
        <w:rPr>
          <w:color w:val="000000" w:themeColor="text1"/>
          <w:lang w:val="es-ES"/>
        </w:rPr>
        <w:t>Practices</w:t>
      </w:r>
      <w:proofErr w:type="spellEnd"/>
      <w:r w:rsidRPr="00B470F1">
        <w:rPr>
          <w:color w:val="000000" w:themeColor="text1"/>
          <w:lang w:val="es-ES"/>
        </w:rPr>
        <w:t xml:space="preserve">, como referencias de buenas prácticas (no sustituyen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normativa aplicable).</w:t>
      </w:r>
    </w:p>
    <w:p w14:paraId="0171B3F1" w14:textId="77777777" w:rsidR="00D6099F" w:rsidRPr="00B470F1" w:rsidRDefault="00D6099F" w:rsidP="00D6099F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Disposición ANMAT 7516/2025 e ICH E6(R3), exclusivamente para estudios de farmacología clínica alcanzados por dicha disposición.</w:t>
      </w:r>
    </w:p>
    <w:p w14:paraId="1A06C5A3" w14:textId="0210DF3A" w:rsidR="00C740E2" w:rsidRDefault="00D6099F" w:rsidP="00D6099F">
      <w:r w:rsidRPr="00B470F1">
        <w:rPr>
          <w:color w:val="000000" w:themeColor="text1"/>
          <w:lang w:val="es-ES"/>
        </w:rPr>
        <w:t>Manual de laboratorio, protocolo, contrato y requisitos del patrocinador/CRO vigentes para cada estudio.</w:t>
      </w:r>
    </w:p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BAF8675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7495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9F"/>
    <w:rsid w:val="0012748E"/>
    <w:rsid w:val="001517D0"/>
    <w:rsid w:val="002A0105"/>
    <w:rsid w:val="003040C5"/>
    <w:rsid w:val="00C740E2"/>
    <w:rsid w:val="00D6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A3B9AA"/>
  <w15:chartTrackingRefBased/>
  <w15:docId w15:val="{8D6EFD9C-A594-4648-9966-E4E08553F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99F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60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0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9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9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9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9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60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9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9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9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9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9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9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9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9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9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9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9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9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9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99F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D6099F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D6099F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2026-09-04T21:06:00Z</dcterms:created>
  <dcterms:modified xsi:type="dcterms:W3CDTF">2026-09-04T21:06:00Z</dcterms:modified>
</cp:coreProperties>
</file>