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6B6C7B" w14:textId="77777777" w:rsidR="009671FF" w:rsidRPr="002B7241" w:rsidRDefault="00000000" w:rsidP="002B7241">
      <w:pPr>
        <w:jc w:val="both"/>
        <w:rPr>
          <w:color w:val="000000" w:themeColor="text1"/>
          <w:lang w:val="es-ES"/>
        </w:rPr>
      </w:pPr>
      <w:r w:rsidRPr="002B7241">
        <w:rPr>
          <w:b/>
          <w:color w:val="000000" w:themeColor="text1"/>
          <w:sz w:val="36"/>
          <w:lang w:val="es-ES"/>
        </w:rPr>
        <w:t>Matriz Maestra Documental y Regulatoria</w:t>
      </w:r>
    </w:p>
    <w:p w14:paraId="0C2D7ADC" w14:textId="77777777" w:rsidR="009671FF" w:rsidRPr="002B7241" w:rsidRDefault="00000000" w:rsidP="002B7241">
      <w:pPr>
        <w:jc w:val="both"/>
        <w:rPr>
          <w:color w:val="000000" w:themeColor="text1"/>
          <w:lang w:val="es-ES"/>
        </w:rPr>
      </w:pPr>
      <w:r w:rsidRPr="002B7241">
        <w:rPr>
          <w:i/>
          <w:color w:val="000000" w:themeColor="text1"/>
          <w:sz w:val="22"/>
          <w:lang w:val="es-ES"/>
        </w:rPr>
        <w:t>Biobanco HEC-CEMET - versión de trabajo</w:t>
      </w:r>
    </w:p>
    <w:p w14:paraId="47CF0B09" w14:textId="7E5F95F0" w:rsidR="009671FF" w:rsidRPr="002B7241" w:rsidRDefault="00000000" w:rsidP="002B7241">
      <w:pPr>
        <w:jc w:val="both"/>
        <w:rPr>
          <w:color w:val="000000" w:themeColor="text1"/>
          <w:lang w:val="es-ES"/>
        </w:rPr>
      </w:pPr>
      <w:r w:rsidRPr="002B7241">
        <w:rPr>
          <w:b/>
          <w:color w:val="000000" w:themeColor="text1"/>
          <w:lang w:val="es-ES"/>
        </w:rPr>
        <w:t>Hospital El Cruce - Centro de Medicina Traslacional (CEMET)</w:t>
      </w:r>
      <w:r w:rsidRPr="002B7241">
        <w:rPr>
          <w:b/>
          <w:color w:val="000000" w:themeColor="text1"/>
          <w:lang w:val="es-ES"/>
        </w:rPr>
        <w:br/>
      </w:r>
    </w:p>
    <w:p w14:paraId="6CE72C30" w14:textId="77777777" w:rsidR="009671FF" w:rsidRPr="002B7241" w:rsidRDefault="009671FF" w:rsidP="002B7241">
      <w:pPr>
        <w:jc w:val="both"/>
        <w:rPr>
          <w:color w:val="000000" w:themeColor="text1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9671FF" w:rsidRPr="002B7241" w14:paraId="2E613613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B97180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b/>
                <w:color w:val="000000" w:themeColor="text1"/>
                <w:sz w:val="18"/>
                <w:lang w:val="es-ES"/>
              </w:rPr>
              <w:t>Director del Biobanco</w:t>
            </w:r>
          </w:p>
        </w:tc>
        <w:tc>
          <w:tcPr>
            <w:tcW w:w="5071" w:type="dxa"/>
            <w:vAlign w:val="center"/>
          </w:tcPr>
          <w:p w14:paraId="6E82E391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8"/>
                <w:lang w:val="es-ES"/>
              </w:rPr>
              <w:t>Dr. Martín Ledesma</w:t>
            </w:r>
          </w:p>
        </w:tc>
      </w:tr>
      <w:tr w:rsidR="009671FF" w:rsidRPr="002B7241" w14:paraId="7C75F23D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2644F3E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b/>
                <w:color w:val="000000" w:themeColor="text1"/>
                <w:sz w:val="18"/>
                <w:lang w:val="es-ES"/>
              </w:rPr>
              <w:t>Técnico operativo</w:t>
            </w:r>
          </w:p>
        </w:tc>
        <w:tc>
          <w:tcPr>
            <w:tcW w:w="5071" w:type="dxa"/>
            <w:vAlign w:val="center"/>
          </w:tcPr>
          <w:p w14:paraId="3D40DD4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8"/>
                <w:lang w:val="es-ES"/>
              </w:rPr>
              <w:t>Ezequiel Romero</w:t>
            </w:r>
          </w:p>
        </w:tc>
      </w:tr>
      <w:tr w:rsidR="009671FF" w:rsidRPr="002B7241" w14:paraId="16AD02C7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53DAFB41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b/>
                <w:color w:val="000000" w:themeColor="text1"/>
                <w:sz w:val="18"/>
                <w:lang w:val="es-ES"/>
              </w:rPr>
              <w:t>Fecha de elaboración</w:t>
            </w:r>
          </w:p>
        </w:tc>
        <w:tc>
          <w:tcPr>
            <w:tcW w:w="5071" w:type="dxa"/>
            <w:vAlign w:val="center"/>
          </w:tcPr>
          <w:p w14:paraId="12E5D870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8"/>
                <w:lang w:val="es-ES"/>
              </w:rPr>
              <w:t>2026-09-04</w:t>
            </w:r>
          </w:p>
        </w:tc>
      </w:tr>
      <w:tr w:rsidR="009671FF" w:rsidRPr="002B7241" w14:paraId="200DE7F6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65047B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b/>
                <w:color w:val="000000" w:themeColor="text1"/>
                <w:sz w:val="18"/>
                <w:lang w:val="es-ES"/>
              </w:rPr>
              <w:t>Estado</w:t>
            </w:r>
          </w:p>
        </w:tc>
        <w:tc>
          <w:tcPr>
            <w:tcW w:w="5071" w:type="dxa"/>
            <w:vAlign w:val="center"/>
          </w:tcPr>
          <w:p w14:paraId="50DBEC87" w14:textId="34080609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8"/>
                <w:lang w:val="es-ES"/>
              </w:rPr>
              <w:t xml:space="preserve">BORRADOR </w:t>
            </w:r>
          </w:p>
        </w:tc>
      </w:tr>
    </w:tbl>
    <w:p w14:paraId="508897F1" w14:textId="77777777" w:rsidR="009671FF" w:rsidRPr="002B7241" w:rsidRDefault="009671FF" w:rsidP="002B7241">
      <w:pPr>
        <w:jc w:val="both"/>
        <w:rPr>
          <w:color w:val="000000" w:themeColor="text1"/>
          <w:lang w:val="es-ES"/>
        </w:rPr>
      </w:pPr>
    </w:p>
    <w:p w14:paraId="7BB95E77" w14:textId="77777777" w:rsidR="009671FF" w:rsidRPr="002B7241" w:rsidRDefault="00000000" w:rsidP="002B7241">
      <w:pPr>
        <w:jc w:val="both"/>
        <w:rPr>
          <w:color w:val="000000" w:themeColor="text1"/>
          <w:lang w:val="es-ES"/>
        </w:rPr>
      </w:pPr>
      <w:r w:rsidRPr="002B7241">
        <w:rPr>
          <w:color w:val="000000" w:themeColor="text1"/>
          <w:lang w:val="es-ES"/>
        </w:rPr>
        <w:br w:type="page"/>
      </w:r>
    </w:p>
    <w:p w14:paraId="1169E2DC" w14:textId="77777777" w:rsidR="009671FF" w:rsidRPr="002B7241" w:rsidRDefault="00000000" w:rsidP="002B7241">
      <w:pPr>
        <w:pStyle w:val="Ttulo1"/>
        <w:jc w:val="both"/>
        <w:rPr>
          <w:color w:val="000000" w:themeColor="text1"/>
          <w:lang w:val="es-ES"/>
        </w:rPr>
      </w:pPr>
      <w:r w:rsidRPr="002B7241">
        <w:rPr>
          <w:color w:val="000000" w:themeColor="text1"/>
          <w:lang w:val="es-ES"/>
        </w:rPr>
        <w:lastRenderedPageBreak/>
        <w:t>1. Matriz de POE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28"/>
        <w:gridCol w:w="2028"/>
        <w:gridCol w:w="2028"/>
        <w:gridCol w:w="2028"/>
        <w:gridCol w:w="2028"/>
      </w:tblGrid>
      <w:tr w:rsidR="009671FF" w:rsidRPr="002B7241" w14:paraId="25F1D655" w14:textId="77777777">
        <w:tc>
          <w:tcPr>
            <w:tcW w:w="2028" w:type="dxa"/>
            <w:shd w:val="clear" w:color="auto" w:fill="D9EAF7"/>
            <w:vAlign w:val="center"/>
          </w:tcPr>
          <w:p w14:paraId="2630CD7E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b/>
                <w:color w:val="000000" w:themeColor="text1"/>
                <w:sz w:val="16"/>
                <w:lang w:val="es-ES"/>
              </w:rPr>
              <w:t>Código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39481DC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b/>
                <w:color w:val="000000" w:themeColor="text1"/>
                <w:sz w:val="16"/>
                <w:lang w:val="es-ES"/>
              </w:rPr>
              <w:t>Documento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1EAA842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b/>
                <w:color w:val="000000" w:themeColor="text1"/>
                <w:sz w:val="16"/>
                <w:lang w:val="es-ES"/>
              </w:rPr>
              <w:t>Unidad A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0E9C9C7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b/>
                <w:color w:val="000000" w:themeColor="text1"/>
                <w:sz w:val="16"/>
                <w:lang w:val="es-ES"/>
              </w:rPr>
              <w:t>Unidad B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292C5CD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b/>
                <w:color w:val="000000" w:themeColor="text1"/>
                <w:sz w:val="16"/>
                <w:lang w:val="es-ES"/>
              </w:rPr>
              <w:t>Responsable primario</w:t>
            </w:r>
          </w:p>
        </w:tc>
      </w:tr>
      <w:tr w:rsidR="009671FF" w:rsidRPr="002B7241" w14:paraId="293CDB5C" w14:textId="77777777">
        <w:tc>
          <w:tcPr>
            <w:tcW w:w="2028" w:type="dxa"/>
            <w:vAlign w:val="center"/>
          </w:tcPr>
          <w:p w14:paraId="49B83FE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BB-GEN-001</w:t>
            </w:r>
          </w:p>
        </w:tc>
        <w:tc>
          <w:tcPr>
            <w:tcW w:w="2028" w:type="dxa"/>
            <w:vAlign w:val="center"/>
          </w:tcPr>
          <w:p w14:paraId="3C77CC7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Organización, gobierno y funcionamiento general del Biobanco</w:t>
            </w:r>
          </w:p>
        </w:tc>
        <w:tc>
          <w:tcPr>
            <w:tcW w:w="2028" w:type="dxa"/>
            <w:vAlign w:val="center"/>
          </w:tcPr>
          <w:p w14:paraId="5AEBEBBD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27BF8AD4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7A3DA055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Director/Técnico</w:t>
            </w:r>
          </w:p>
        </w:tc>
      </w:tr>
      <w:tr w:rsidR="009671FF" w:rsidRPr="002B7241" w14:paraId="2F716BBF" w14:textId="77777777">
        <w:tc>
          <w:tcPr>
            <w:tcW w:w="2028" w:type="dxa"/>
            <w:vAlign w:val="center"/>
          </w:tcPr>
          <w:p w14:paraId="1EB8234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BB-GEN-002</w:t>
            </w:r>
          </w:p>
        </w:tc>
        <w:tc>
          <w:tcPr>
            <w:tcW w:w="2028" w:type="dxa"/>
            <w:vAlign w:val="center"/>
          </w:tcPr>
          <w:p w14:paraId="192E1FE1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Gestión y control de documentos</w:t>
            </w:r>
          </w:p>
        </w:tc>
        <w:tc>
          <w:tcPr>
            <w:tcW w:w="2028" w:type="dxa"/>
            <w:vAlign w:val="center"/>
          </w:tcPr>
          <w:p w14:paraId="1989C05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54A4E65B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55260A9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Director/Técnico</w:t>
            </w:r>
          </w:p>
        </w:tc>
      </w:tr>
      <w:tr w:rsidR="009671FF" w:rsidRPr="002B7241" w14:paraId="1E73C279" w14:textId="77777777">
        <w:tc>
          <w:tcPr>
            <w:tcW w:w="2028" w:type="dxa"/>
            <w:vAlign w:val="center"/>
          </w:tcPr>
          <w:p w14:paraId="2D3F41E6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BB-GEN-003</w:t>
            </w:r>
          </w:p>
        </w:tc>
        <w:tc>
          <w:tcPr>
            <w:tcW w:w="2028" w:type="dxa"/>
            <w:vAlign w:val="center"/>
          </w:tcPr>
          <w:p w14:paraId="6ECFE14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Capacitación, habilitación y competencia del personal</w:t>
            </w:r>
          </w:p>
        </w:tc>
        <w:tc>
          <w:tcPr>
            <w:tcW w:w="2028" w:type="dxa"/>
            <w:vAlign w:val="center"/>
          </w:tcPr>
          <w:p w14:paraId="380260F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4E4FE862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6A92D7F5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Director/Técnico</w:t>
            </w:r>
          </w:p>
        </w:tc>
      </w:tr>
      <w:tr w:rsidR="009671FF" w:rsidRPr="002B7241" w14:paraId="3A73DEEE" w14:textId="77777777">
        <w:tc>
          <w:tcPr>
            <w:tcW w:w="2028" w:type="dxa"/>
            <w:vAlign w:val="center"/>
          </w:tcPr>
          <w:p w14:paraId="59F86815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BB-GEN-004</w:t>
            </w:r>
          </w:p>
        </w:tc>
        <w:tc>
          <w:tcPr>
            <w:tcW w:w="2028" w:type="dxa"/>
            <w:vAlign w:val="center"/>
          </w:tcPr>
          <w:p w14:paraId="29BDDC7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Acceso, circulación y visitas</w:t>
            </w:r>
          </w:p>
        </w:tc>
        <w:tc>
          <w:tcPr>
            <w:tcW w:w="2028" w:type="dxa"/>
            <w:vAlign w:val="center"/>
          </w:tcPr>
          <w:p w14:paraId="73BEF40D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7FA5937A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0E1799CC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Director/Técnico</w:t>
            </w:r>
          </w:p>
        </w:tc>
      </w:tr>
      <w:tr w:rsidR="009671FF" w:rsidRPr="002B7241" w14:paraId="7D61A9B8" w14:textId="77777777">
        <w:tc>
          <w:tcPr>
            <w:tcW w:w="2028" w:type="dxa"/>
            <w:vAlign w:val="center"/>
          </w:tcPr>
          <w:p w14:paraId="0A3C36AB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BB-BIO-001</w:t>
            </w:r>
          </w:p>
        </w:tc>
        <w:tc>
          <w:tcPr>
            <w:tcW w:w="2028" w:type="dxa"/>
            <w:vAlign w:val="center"/>
          </w:tcPr>
          <w:p w14:paraId="4309E84E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Bioseguridad, vestimenta y elementos de protección personal</w:t>
            </w:r>
          </w:p>
        </w:tc>
        <w:tc>
          <w:tcPr>
            <w:tcW w:w="2028" w:type="dxa"/>
            <w:vAlign w:val="center"/>
          </w:tcPr>
          <w:p w14:paraId="6E21DC4A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240CE890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1E42A286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72B5051E" w14:textId="77777777">
        <w:tc>
          <w:tcPr>
            <w:tcW w:w="2028" w:type="dxa"/>
            <w:vAlign w:val="center"/>
          </w:tcPr>
          <w:p w14:paraId="26B8FD25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BB-BIO-002</w:t>
            </w:r>
          </w:p>
        </w:tc>
        <w:tc>
          <w:tcPr>
            <w:tcW w:w="2028" w:type="dxa"/>
            <w:vAlign w:val="center"/>
          </w:tcPr>
          <w:p w14:paraId="21D42D50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Limpieza, desinfección y orden de áreas</w:t>
            </w:r>
          </w:p>
        </w:tc>
        <w:tc>
          <w:tcPr>
            <w:tcW w:w="2028" w:type="dxa"/>
            <w:vAlign w:val="center"/>
          </w:tcPr>
          <w:p w14:paraId="63DB2ABB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6A032B8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16A929CB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5584C3AA" w14:textId="77777777">
        <w:tc>
          <w:tcPr>
            <w:tcW w:w="2028" w:type="dxa"/>
            <w:vAlign w:val="center"/>
          </w:tcPr>
          <w:p w14:paraId="25924ED4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BB-BIO-003</w:t>
            </w:r>
          </w:p>
        </w:tc>
        <w:tc>
          <w:tcPr>
            <w:tcW w:w="2028" w:type="dxa"/>
            <w:vAlign w:val="center"/>
          </w:tcPr>
          <w:p w14:paraId="78E6E950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Gestión de residuos, derrames y exposición accidental</w:t>
            </w:r>
          </w:p>
        </w:tc>
        <w:tc>
          <w:tcPr>
            <w:tcW w:w="2028" w:type="dxa"/>
            <w:vAlign w:val="center"/>
          </w:tcPr>
          <w:p w14:paraId="4D919B25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65F9C8A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3A93DCA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07EE0EB8" w14:textId="77777777">
        <w:tc>
          <w:tcPr>
            <w:tcW w:w="2028" w:type="dxa"/>
            <w:vAlign w:val="center"/>
          </w:tcPr>
          <w:p w14:paraId="6153382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BB-EQP-001</w:t>
            </w:r>
          </w:p>
        </w:tc>
        <w:tc>
          <w:tcPr>
            <w:tcW w:w="2028" w:type="dxa"/>
            <w:vAlign w:val="center"/>
          </w:tcPr>
          <w:p w14:paraId="509E49D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Operación de </w:t>
            </w:r>
            <w:proofErr w:type="spellStart"/>
            <w:r w:rsidRPr="002B7241">
              <w:rPr>
                <w:color w:val="000000" w:themeColor="text1"/>
                <w:sz w:val="15"/>
                <w:lang w:val="es-ES"/>
              </w:rPr>
              <w:t>ultrafreezers</w:t>
            </w:r>
            <w:proofErr w:type="spellEnd"/>
            <w:r w:rsidRPr="002B7241">
              <w:rPr>
                <w:color w:val="000000" w:themeColor="text1"/>
                <w:sz w:val="15"/>
                <w:lang w:val="es-ES"/>
              </w:rPr>
              <w:t xml:space="preserve"> de -80 °C</w:t>
            </w:r>
          </w:p>
        </w:tc>
        <w:tc>
          <w:tcPr>
            <w:tcW w:w="2028" w:type="dxa"/>
            <w:vAlign w:val="center"/>
          </w:tcPr>
          <w:p w14:paraId="6383D236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53244D4A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32B5EA66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470984E4" w14:textId="77777777">
        <w:tc>
          <w:tcPr>
            <w:tcW w:w="2028" w:type="dxa"/>
            <w:vAlign w:val="center"/>
          </w:tcPr>
          <w:p w14:paraId="52B75D25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BB-EQP-002</w:t>
            </w:r>
          </w:p>
        </w:tc>
        <w:tc>
          <w:tcPr>
            <w:tcW w:w="2028" w:type="dxa"/>
            <w:vAlign w:val="center"/>
          </w:tcPr>
          <w:p w14:paraId="5F7D260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Operación segura de </w:t>
            </w:r>
            <w:proofErr w:type="spellStart"/>
            <w:r w:rsidRPr="002B7241">
              <w:rPr>
                <w:color w:val="000000" w:themeColor="text1"/>
                <w:sz w:val="15"/>
                <w:lang w:val="es-ES"/>
              </w:rPr>
              <w:t>ultrafreezers</w:t>
            </w:r>
            <w:proofErr w:type="spellEnd"/>
            <w:r w:rsidRPr="002B7241">
              <w:rPr>
                <w:color w:val="000000" w:themeColor="text1"/>
                <w:sz w:val="15"/>
                <w:lang w:val="es-ES"/>
              </w:rPr>
              <w:t xml:space="preserve"> de -150 °C</w:t>
            </w:r>
          </w:p>
        </w:tc>
        <w:tc>
          <w:tcPr>
            <w:tcW w:w="2028" w:type="dxa"/>
            <w:vAlign w:val="center"/>
          </w:tcPr>
          <w:p w14:paraId="5F29200D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47BF8B6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1A54ECB4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74995FB0" w14:textId="77777777">
        <w:tc>
          <w:tcPr>
            <w:tcW w:w="2028" w:type="dxa"/>
            <w:vAlign w:val="center"/>
          </w:tcPr>
          <w:p w14:paraId="533BEDF4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BB-EQP-003</w:t>
            </w:r>
          </w:p>
        </w:tc>
        <w:tc>
          <w:tcPr>
            <w:tcW w:w="2028" w:type="dxa"/>
            <w:vAlign w:val="center"/>
          </w:tcPr>
          <w:p w14:paraId="3D247C4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Monitoreo, revisión y registro de temperaturas</w:t>
            </w:r>
          </w:p>
        </w:tc>
        <w:tc>
          <w:tcPr>
            <w:tcW w:w="2028" w:type="dxa"/>
            <w:vAlign w:val="center"/>
          </w:tcPr>
          <w:p w14:paraId="3BC0E3C5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71EEE1F1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745ED18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3338B2F9" w14:textId="77777777">
        <w:tc>
          <w:tcPr>
            <w:tcW w:w="2028" w:type="dxa"/>
            <w:vAlign w:val="center"/>
          </w:tcPr>
          <w:p w14:paraId="3AF8EAE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BB-EQP-004</w:t>
            </w:r>
          </w:p>
        </w:tc>
        <w:tc>
          <w:tcPr>
            <w:tcW w:w="2028" w:type="dxa"/>
            <w:vAlign w:val="center"/>
          </w:tcPr>
          <w:p w14:paraId="7A59A05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Alarmas, comunicación y respuesta fuera de horario</w:t>
            </w:r>
          </w:p>
        </w:tc>
        <w:tc>
          <w:tcPr>
            <w:tcW w:w="2028" w:type="dxa"/>
            <w:vAlign w:val="center"/>
          </w:tcPr>
          <w:p w14:paraId="5B6A5CA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1A70CA4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740D09AA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60C1B876" w14:textId="77777777">
        <w:tc>
          <w:tcPr>
            <w:tcW w:w="2028" w:type="dxa"/>
            <w:vAlign w:val="center"/>
          </w:tcPr>
          <w:p w14:paraId="2136C9C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BB-EQP-005</w:t>
            </w:r>
          </w:p>
        </w:tc>
        <w:tc>
          <w:tcPr>
            <w:tcW w:w="2028" w:type="dxa"/>
            <w:vAlign w:val="center"/>
          </w:tcPr>
          <w:p w14:paraId="4DE8CB6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Mantenimiento preventivo, correctivo y calificación de equipos</w:t>
            </w:r>
          </w:p>
        </w:tc>
        <w:tc>
          <w:tcPr>
            <w:tcW w:w="2028" w:type="dxa"/>
            <w:vAlign w:val="center"/>
          </w:tcPr>
          <w:p w14:paraId="76CF6FDA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0F02E4B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7D0C6D15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4B01EA5A" w14:textId="77777777">
        <w:tc>
          <w:tcPr>
            <w:tcW w:w="2028" w:type="dxa"/>
            <w:vAlign w:val="center"/>
          </w:tcPr>
          <w:p w14:paraId="02CE6E0C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BB-EQP-006</w:t>
            </w:r>
          </w:p>
        </w:tc>
        <w:tc>
          <w:tcPr>
            <w:tcW w:w="2028" w:type="dxa"/>
            <w:vAlign w:val="center"/>
          </w:tcPr>
          <w:p w14:paraId="44607A6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Contingencia, capacidad de respaldo y traslado de muestras</w:t>
            </w:r>
          </w:p>
        </w:tc>
        <w:tc>
          <w:tcPr>
            <w:tcW w:w="2028" w:type="dxa"/>
            <w:vAlign w:val="center"/>
          </w:tcPr>
          <w:p w14:paraId="4444BC8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1C01623C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7C224D71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4027CDD3" w14:textId="77777777">
        <w:tc>
          <w:tcPr>
            <w:tcW w:w="2028" w:type="dxa"/>
            <w:vAlign w:val="center"/>
          </w:tcPr>
          <w:p w14:paraId="238853BE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BB-MUE-001</w:t>
            </w:r>
          </w:p>
        </w:tc>
        <w:tc>
          <w:tcPr>
            <w:tcW w:w="2028" w:type="dxa"/>
            <w:vAlign w:val="center"/>
          </w:tcPr>
          <w:p w14:paraId="400159B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Recepción, aceptación y rechazo de muestras</w:t>
            </w:r>
          </w:p>
        </w:tc>
        <w:tc>
          <w:tcPr>
            <w:tcW w:w="2028" w:type="dxa"/>
            <w:vAlign w:val="center"/>
          </w:tcPr>
          <w:p w14:paraId="0EDBBC71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1ED8F14D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03ADDDE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2916E5D9" w14:textId="77777777">
        <w:tc>
          <w:tcPr>
            <w:tcW w:w="2028" w:type="dxa"/>
            <w:vAlign w:val="center"/>
          </w:tcPr>
          <w:p w14:paraId="520FF3BD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BB-MUE-002</w:t>
            </w:r>
          </w:p>
        </w:tc>
        <w:tc>
          <w:tcPr>
            <w:tcW w:w="2028" w:type="dxa"/>
            <w:vAlign w:val="center"/>
          </w:tcPr>
          <w:p w14:paraId="49067C91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Identificación, etiquetado y codificación</w:t>
            </w:r>
          </w:p>
        </w:tc>
        <w:tc>
          <w:tcPr>
            <w:tcW w:w="2028" w:type="dxa"/>
            <w:vAlign w:val="center"/>
          </w:tcPr>
          <w:p w14:paraId="18E5978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3AF2C925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0F1B65A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0B303C28" w14:textId="77777777">
        <w:tc>
          <w:tcPr>
            <w:tcW w:w="2028" w:type="dxa"/>
            <w:vAlign w:val="center"/>
          </w:tcPr>
          <w:p w14:paraId="6E7C822E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BB-MUE-003</w:t>
            </w:r>
          </w:p>
        </w:tc>
        <w:tc>
          <w:tcPr>
            <w:tcW w:w="2028" w:type="dxa"/>
            <w:vAlign w:val="center"/>
          </w:tcPr>
          <w:p w14:paraId="399B2270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Asignación de ubicación, almacenamiento y recuperación</w:t>
            </w:r>
          </w:p>
        </w:tc>
        <w:tc>
          <w:tcPr>
            <w:tcW w:w="2028" w:type="dxa"/>
            <w:vAlign w:val="center"/>
          </w:tcPr>
          <w:p w14:paraId="0F84E29B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77F60575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343C5FB4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0A0D2E43" w14:textId="77777777">
        <w:tc>
          <w:tcPr>
            <w:tcW w:w="2028" w:type="dxa"/>
            <w:vAlign w:val="center"/>
          </w:tcPr>
          <w:p w14:paraId="5480941C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BB-MUE-004</w:t>
            </w:r>
          </w:p>
        </w:tc>
        <w:tc>
          <w:tcPr>
            <w:tcW w:w="2028" w:type="dxa"/>
            <w:vAlign w:val="center"/>
          </w:tcPr>
          <w:p w14:paraId="63BEDE3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Descongelamiento, manipulación, </w:t>
            </w:r>
            <w:proofErr w:type="spellStart"/>
            <w:r w:rsidRPr="002B7241">
              <w:rPr>
                <w:color w:val="000000" w:themeColor="text1"/>
                <w:sz w:val="15"/>
                <w:lang w:val="es-ES"/>
              </w:rPr>
              <w:t>alicuotado</w:t>
            </w:r>
            <w:proofErr w:type="spellEnd"/>
            <w:r w:rsidRPr="002B7241">
              <w:rPr>
                <w:color w:val="000000" w:themeColor="text1"/>
                <w:sz w:val="15"/>
                <w:lang w:val="es-ES"/>
              </w:rPr>
              <w:t xml:space="preserve"> y </w:t>
            </w:r>
            <w:proofErr w:type="spellStart"/>
            <w:r w:rsidRPr="002B7241">
              <w:rPr>
                <w:color w:val="000000" w:themeColor="text1"/>
                <w:sz w:val="15"/>
                <w:lang w:val="es-ES"/>
              </w:rPr>
              <w:t>recongelamiento</w:t>
            </w:r>
            <w:proofErr w:type="spellEnd"/>
          </w:p>
        </w:tc>
        <w:tc>
          <w:tcPr>
            <w:tcW w:w="2028" w:type="dxa"/>
            <w:vAlign w:val="center"/>
          </w:tcPr>
          <w:p w14:paraId="2C60FC31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1FB7AD75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64862A2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243D843C" w14:textId="77777777">
        <w:tc>
          <w:tcPr>
            <w:tcW w:w="2028" w:type="dxa"/>
            <w:vAlign w:val="center"/>
          </w:tcPr>
          <w:p w14:paraId="36B46402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BB-MUE-005</w:t>
            </w:r>
          </w:p>
        </w:tc>
        <w:tc>
          <w:tcPr>
            <w:tcW w:w="2028" w:type="dxa"/>
            <w:vAlign w:val="center"/>
          </w:tcPr>
          <w:p w14:paraId="416D65E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Retiro, distribución, derivación y envío de muestras</w:t>
            </w:r>
          </w:p>
        </w:tc>
        <w:tc>
          <w:tcPr>
            <w:tcW w:w="2028" w:type="dxa"/>
            <w:vAlign w:val="center"/>
          </w:tcPr>
          <w:p w14:paraId="1CEA820B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6B8BABE5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684E707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479E3D9D" w14:textId="77777777">
        <w:tc>
          <w:tcPr>
            <w:tcW w:w="2028" w:type="dxa"/>
            <w:vAlign w:val="center"/>
          </w:tcPr>
          <w:p w14:paraId="6706C710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BB-MUE-006</w:t>
            </w:r>
          </w:p>
        </w:tc>
        <w:tc>
          <w:tcPr>
            <w:tcW w:w="2028" w:type="dxa"/>
            <w:vAlign w:val="center"/>
          </w:tcPr>
          <w:p w14:paraId="0A0FA5C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Descarte, destrucción y disposición final</w:t>
            </w:r>
          </w:p>
        </w:tc>
        <w:tc>
          <w:tcPr>
            <w:tcW w:w="2028" w:type="dxa"/>
            <w:vAlign w:val="center"/>
          </w:tcPr>
          <w:p w14:paraId="15578B8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5A90716A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725BD24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1710375B" w14:textId="77777777">
        <w:tc>
          <w:tcPr>
            <w:tcW w:w="2028" w:type="dxa"/>
            <w:vAlign w:val="center"/>
          </w:tcPr>
          <w:p w14:paraId="1CAE91D2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BB-DAT-001</w:t>
            </w:r>
          </w:p>
        </w:tc>
        <w:tc>
          <w:tcPr>
            <w:tcW w:w="2028" w:type="dxa"/>
            <w:vAlign w:val="center"/>
          </w:tcPr>
          <w:p w14:paraId="701CDA56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Registro maestro y trazabilidad en NORAYBANKS</w:t>
            </w:r>
          </w:p>
        </w:tc>
        <w:tc>
          <w:tcPr>
            <w:tcW w:w="2028" w:type="dxa"/>
            <w:vAlign w:val="center"/>
          </w:tcPr>
          <w:p w14:paraId="1DF1062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4286228B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2EE80B8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5A2D7227" w14:textId="77777777">
        <w:tc>
          <w:tcPr>
            <w:tcW w:w="2028" w:type="dxa"/>
            <w:vAlign w:val="center"/>
          </w:tcPr>
          <w:p w14:paraId="64285FB2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BB-DAT-002</w:t>
            </w:r>
          </w:p>
        </w:tc>
        <w:tc>
          <w:tcPr>
            <w:tcW w:w="2028" w:type="dxa"/>
            <w:vAlign w:val="center"/>
          </w:tcPr>
          <w:p w14:paraId="7BEC0DF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Confidencialidad, codificación, acceso y exportación de datos</w:t>
            </w:r>
          </w:p>
        </w:tc>
        <w:tc>
          <w:tcPr>
            <w:tcW w:w="2028" w:type="dxa"/>
            <w:vAlign w:val="center"/>
          </w:tcPr>
          <w:p w14:paraId="29E1E3C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59EC119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506BFF4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4919801D" w14:textId="77777777">
        <w:tc>
          <w:tcPr>
            <w:tcW w:w="2028" w:type="dxa"/>
            <w:vAlign w:val="center"/>
          </w:tcPr>
          <w:p w14:paraId="1C812BD2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BB-GEN-005</w:t>
            </w:r>
          </w:p>
        </w:tc>
        <w:tc>
          <w:tcPr>
            <w:tcW w:w="2028" w:type="dxa"/>
            <w:vAlign w:val="center"/>
          </w:tcPr>
          <w:p w14:paraId="227ACF1D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Gestión de incidentes, desviaciones, no conformidades y CAPA</w:t>
            </w:r>
          </w:p>
        </w:tc>
        <w:tc>
          <w:tcPr>
            <w:tcW w:w="2028" w:type="dxa"/>
            <w:vAlign w:val="center"/>
          </w:tcPr>
          <w:p w14:paraId="5C684B5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2820726D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7FD27D2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Director/Técnico</w:t>
            </w:r>
          </w:p>
        </w:tc>
      </w:tr>
      <w:tr w:rsidR="009671FF" w:rsidRPr="002B7241" w14:paraId="39E0EE91" w14:textId="77777777">
        <w:tc>
          <w:tcPr>
            <w:tcW w:w="2028" w:type="dxa"/>
            <w:vAlign w:val="center"/>
          </w:tcPr>
          <w:p w14:paraId="7254C51A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BB-GEN-006</w:t>
            </w:r>
          </w:p>
        </w:tc>
        <w:tc>
          <w:tcPr>
            <w:tcW w:w="2028" w:type="dxa"/>
            <w:vAlign w:val="center"/>
          </w:tcPr>
          <w:p w14:paraId="391A7E3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Auditorías internas y revisión de gestión</w:t>
            </w:r>
          </w:p>
        </w:tc>
        <w:tc>
          <w:tcPr>
            <w:tcW w:w="2028" w:type="dxa"/>
            <w:vAlign w:val="center"/>
          </w:tcPr>
          <w:p w14:paraId="4868E2EA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7AD60A2A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0050E15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Director/Técnico</w:t>
            </w:r>
          </w:p>
        </w:tc>
      </w:tr>
      <w:tr w:rsidR="009671FF" w:rsidRPr="002B7241" w14:paraId="6EA5EB8B" w14:textId="77777777">
        <w:tc>
          <w:tcPr>
            <w:tcW w:w="2028" w:type="dxa"/>
            <w:vAlign w:val="center"/>
          </w:tcPr>
          <w:p w14:paraId="052CFA1C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BB-GEN-007</w:t>
            </w:r>
          </w:p>
        </w:tc>
        <w:tc>
          <w:tcPr>
            <w:tcW w:w="2028" w:type="dxa"/>
            <w:vAlign w:val="center"/>
          </w:tcPr>
          <w:p w14:paraId="2983C656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Gestión de consentimiento informado, restricciones de </w:t>
            </w:r>
            <w:r w:rsidRPr="002B7241">
              <w:rPr>
                <w:color w:val="000000" w:themeColor="text1"/>
                <w:sz w:val="15"/>
                <w:lang w:val="es-ES"/>
              </w:rPr>
              <w:lastRenderedPageBreak/>
              <w:t>uso y revocación</w:t>
            </w:r>
          </w:p>
        </w:tc>
        <w:tc>
          <w:tcPr>
            <w:tcW w:w="2028" w:type="dxa"/>
            <w:vAlign w:val="center"/>
          </w:tcPr>
          <w:p w14:paraId="3F5C93A1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lastRenderedPageBreak/>
              <w:t>Sí</w:t>
            </w:r>
          </w:p>
        </w:tc>
        <w:tc>
          <w:tcPr>
            <w:tcW w:w="2028" w:type="dxa"/>
            <w:vAlign w:val="center"/>
          </w:tcPr>
          <w:p w14:paraId="5D985EC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3978E996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Director/Técnico</w:t>
            </w:r>
          </w:p>
        </w:tc>
      </w:tr>
      <w:tr w:rsidR="009671FF" w:rsidRPr="002B7241" w14:paraId="2628A555" w14:textId="77777777">
        <w:tc>
          <w:tcPr>
            <w:tcW w:w="2028" w:type="dxa"/>
            <w:vAlign w:val="center"/>
          </w:tcPr>
          <w:p w14:paraId="6E4A1B5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BB-INS-001</w:t>
            </w:r>
          </w:p>
        </w:tc>
        <w:tc>
          <w:tcPr>
            <w:tcW w:w="2028" w:type="dxa"/>
            <w:vAlign w:val="center"/>
          </w:tcPr>
          <w:p w14:paraId="2C07F5BB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Solicitud, evaluación y apertura de colección institucional</w:t>
            </w:r>
          </w:p>
        </w:tc>
        <w:tc>
          <w:tcPr>
            <w:tcW w:w="2028" w:type="dxa"/>
            <w:vAlign w:val="center"/>
          </w:tcPr>
          <w:p w14:paraId="486ADD0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46AE2411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No</w:t>
            </w:r>
          </w:p>
        </w:tc>
        <w:tc>
          <w:tcPr>
            <w:tcW w:w="2028" w:type="dxa"/>
            <w:vAlign w:val="center"/>
          </w:tcPr>
          <w:p w14:paraId="21AA87CE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06A72099" w14:textId="77777777">
        <w:tc>
          <w:tcPr>
            <w:tcW w:w="2028" w:type="dxa"/>
            <w:vAlign w:val="center"/>
          </w:tcPr>
          <w:p w14:paraId="005B69E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BB-INS-002</w:t>
            </w:r>
          </w:p>
        </w:tc>
        <w:tc>
          <w:tcPr>
            <w:tcW w:w="2028" w:type="dxa"/>
            <w:vAlign w:val="center"/>
          </w:tcPr>
          <w:p w14:paraId="4DFA62FD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Ingreso periódico de muestras a colecciones institucionales</w:t>
            </w:r>
          </w:p>
        </w:tc>
        <w:tc>
          <w:tcPr>
            <w:tcW w:w="2028" w:type="dxa"/>
            <w:vAlign w:val="center"/>
          </w:tcPr>
          <w:p w14:paraId="19B453DD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3601FFE1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No</w:t>
            </w:r>
          </w:p>
        </w:tc>
        <w:tc>
          <w:tcPr>
            <w:tcW w:w="2028" w:type="dxa"/>
            <w:vAlign w:val="center"/>
          </w:tcPr>
          <w:p w14:paraId="05C2363B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327105DB" w14:textId="77777777">
        <w:tc>
          <w:tcPr>
            <w:tcW w:w="2028" w:type="dxa"/>
            <w:vAlign w:val="center"/>
          </w:tcPr>
          <w:p w14:paraId="549A32AC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BB-INS-003</w:t>
            </w:r>
          </w:p>
        </w:tc>
        <w:tc>
          <w:tcPr>
            <w:tcW w:w="2028" w:type="dxa"/>
            <w:vAlign w:val="center"/>
          </w:tcPr>
          <w:p w14:paraId="3A96C6F4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Solicitud y autorización de muestras para investigación</w:t>
            </w:r>
          </w:p>
        </w:tc>
        <w:tc>
          <w:tcPr>
            <w:tcW w:w="2028" w:type="dxa"/>
            <w:vAlign w:val="center"/>
          </w:tcPr>
          <w:p w14:paraId="455B49A5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5A2511F6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No</w:t>
            </w:r>
          </w:p>
        </w:tc>
        <w:tc>
          <w:tcPr>
            <w:tcW w:w="2028" w:type="dxa"/>
            <w:vAlign w:val="center"/>
          </w:tcPr>
          <w:p w14:paraId="5B2EEE1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18CA6A9B" w14:textId="77777777">
        <w:tc>
          <w:tcPr>
            <w:tcW w:w="2028" w:type="dxa"/>
            <w:vAlign w:val="center"/>
          </w:tcPr>
          <w:p w14:paraId="34FA750E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BB-INS-004</w:t>
            </w:r>
          </w:p>
        </w:tc>
        <w:tc>
          <w:tcPr>
            <w:tcW w:w="2028" w:type="dxa"/>
            <w:vAlign w:val="center"/>
          </w:tcPr>
          <w:p w14:paraId="0769736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Cesión a terceros y acuerdos de transferencia de material/datos</w:t>
            </w:r>
          </w:p>
        </w:tc>
        <w:tc>
          <w:tcPr>
            <w:tcW w:w="2028" w:type="dxa"/>
            <w:vAlign w:val="center"/>
          </w:tcPr>
          <w:p w14:paraId="737CFDAC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1D1CA5B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No</w:t>
            </w:r>
          </w:p>
        </w:tc>
        <w:tc>
          <w:tcPr>
            <w:tcW w:w="2028" w:type="dxa"/>
            <w:vAlign w:val="center"/>
          </w:tcPr>
          <w:p w14:paraId="6F0E75C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2D3E5F01" w14:textId="77777777">
        <w:tc>
          <w:tcPr>
            <w:tcW w:w="2028" w:type="dxa"/>
            <w:vAlign w:val="center"/>
          </w:tcPr>
          <w:p w14:paraId="28687F12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BB-INS-005</w:t>
            </w:r>
          </w:p>
        </w:tc>
        <w:tc>
          <w:tcPr>
            <w:tcW w:w="2028" w:type="dxa"/>
            <w:vAlign w:val="center"/>
          </w:tcPr>
          <w:p w14:paraId="4BDFA94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Cierre de colección institucional</w:t>
            </w:r>
          </w:p>
        </w:tc>
        <w:tc>
          <w:tcPr>
            <w:tcW w:w="2028" w:type="dxa"/>
            <w:vAlign w:val="center"/>
          </w:tcPr>
          <w:p w14:paraId="5E6F1862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67075BE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No</w:t>
            </w:r>
          </w:p>
        </w:tc>
        <w:tc>
          <w:tcPr>
            <w:tcW w:w="2028" w:type="dxa"/>
            <w:vAlign w:val="center"/>
          </w:tcPr>
          <w:p w14:paraId="205D101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</w:p>
        </w:tc>
      </w:tr>
      <w:tr w:rsidR="009671FF" w:rsidRPr="002B7241" w14:paraId="6034231F" w14:textId="77777777">
        <w:tc>
          <w:tcPr>
            <w:tcW w:w="2028" w:type="dxa"/>
            <w:vAlign w:val="center"/>
          </w:tcPr>
          <w:p w14:paraId="4CCF6262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BB-CLI-001</w:t>
            </w:r>
          </w:p>
        </w:tc>
        <w:tc>
          <w:tcPr>
            <w:tcW w:w="2028" w:type="dxa"/>
            <w:vAlign w:val="center"/>
          </w:tcPr>
          <w:p w14:paraId="4AFE2C35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Evaluación y aceptación de servicios, protocolos clínicos y contratos</w:t>
            </w:r>
          </w:p>
        </w:tc>
        <w:tc>
          <w:tcPr>
            <w:tcW w:w="2028" w:type="dxa"/>
            <w:vAlign w:val="center"/>
          </w:tcPr>
          <w:p w14:paraId="13F2C89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No</w:t>
            </w:r>
          </w:p>
        </w:tc>
        <w:tc>
          <w:tcPr>
            <w:tcW w:w="2028" w:type="dxa"/>
            <w:vAlign w:val="center"/>
          </w:tcPr>
          <w:p w14:paraId="640632CD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5CD7DC8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 xml:space="preserve">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Sponsor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>/CRO según caso</w:t>
            </w:r>
          </w:p>
        </w:tc>
      </w:tr>
      <w:tr w:rsidR="009671FF" w:rsidRPr="002B7241" w14:paraId="1713C4E8" w14:textId="77777777">
        <w:tc>
          <w:tcPr>
            <w:tcW w:w="2028" w:type="dxa"/>
            <w:vAlign w:val="center"/>
          </w:tcPr>
          <w:p w14:paraId="4B3454AC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BB-CLI-002</w:t>
            </w:r>
          </w:p>
        </w:tc>
        <w:tc>
          <w:tcPr>
            <w:tcW w:w="2028" w:type="dxa"/>
            <w:vAlign w:val="center"/>
          </w:tcPr>
          <w:p w14:paraId="31A1205A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Recepción de muestras de protocolos clínicos</w:t>
            </w:r>
          </w:p>
        </w:tc>
        <w:tc>
          <w:tcPr>
            <w:tcW w:w="2028" w:type="dxa"/>
            <w:vAlign w:val="center"/>
          </w:tcPr>
          <w:p w14:paraId="0D62FCA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No</w:t>
            </w:r>
          </w:p>
        </w:tc>
        <w:tc>
          <w:tcPr>
            <w:tcW w:w="2028" w:type="dxa"/>
            <w:vAlign w:val="center"/>
          </w:tcPr>
          <w:p w14:paraId="29846CD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58502E7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 xml:space="preserve">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Sponsor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>/CRO según caso</w:t>
            </w:r>
          </w:p>
        </w:tc>
      </w:tr>
      <w:tr w:rsidR="009671FF" w:rsidRPr="002B7241" w14:paraId="6422F671" w14:textId="77777777">
        <w:tc>
          <w:tcPr>
            <w:tcW w:w="2028" w:type="dxa"/>
            <w:vAlign w:val="center"/>
          </w:tcPr>
          <w:p w14:paraId="6C75AFCD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BB-CLI-003</w:t>
            </w:r>
          </w:p>
        </w:tc>
        <w:tc>
          <w:tcPr>
            <w:tcW w:w="2028" w:type="dxa"/>
            <w:vAlign w:val="center"/>
          </w:tcPr>
          <w:p w14:paraId="79E63C2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Cadena de custodia para muestras de industria</w:t>
            </w:r>
          </w:p>
        </w:tc>
        <w:tc>
          <w:tcPr>
            <w:tcW w:w="2028" w:type="dxa"/>
            <w:vAlign w:val="center"/>
          </w:tcPr>
          <w:p w14:paraId="109EF84B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No</w:t>
            </w:r>
          </w:p>
        </w:tc>
        <w:tc>
          <w:tcPr>
            <w:tcW w:w="2028" w:type="dxa"/>
            <w:vAlign w:val="center"/>
          </w:tcPr>
          <w:p w14:paraId="3DA8116A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73B0E3E0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 xml:space="preserve">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Sponsor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>/CRO según caso</w:t>
            </w:r>
          </w:p>
        </w:tc>
      </w:tr>
      <w:tr w:rsidR="009671FF" w:rsidRPr="002B7241" w14:paraId="3DE3BC4D" w14:textId="77777777">
        <w:tc>
          <w:tcPr>
            <w:tcW w:w="2028" w:type="dxa"/>
            <w:vAlign w:val="center"/>
          </w:tcPr>
          <w:p w14:paraId="2C5546D0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BB-CLI-004</w:t>
            </w:r>
          </w:p>
        </w:tc>
        <w:tc>
          <w:tcPr>
            <w:tcW w:w="2028" w:type="dxa"/>
            <w:vAlign w:val="center"/>
          </w:tcPr>
          <w:p w14:paraId="5E8A536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Gestión de desviaciones de protocolo y no conformidades del patrocinador</w:t>
            </w:r>
          </w:p>
        </w:tc>
        <w:tc>
          <w:tcPr>
            <w:tcW w:w="2028" w:type="dxa"/>
            <w:vAlign w:val="center"/>
          </w:tcPr>
          <w:p w14:paraId="7BAE9F4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No</w:t>
            </w:r>
          </w:p>
        </w:tc>
        <w:tc>
          <w:tcPr>
            <w:tcW w:w="2028" w:type="dxa"/>
            <w:vAlign w:val="center"/>
          </w:tcPr>
          <w:p w14:paraId="7522946E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4AA52E0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 xml:space="preserve">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Sponsor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>/CRO según caso</w:t>
            </w:r>
          </w:p>
        </w:tc>
      </w:tr>
      <w:tr w:rsidR="009671FF" w:rsidRPr="002B7241" w14:paraId="4D8EAF9D" w14:textId="77777777">
        <w:tc>
          <w:tcPr>
            <w:tcW w:w="2028" w:type="dxa"/>
            <w:vAlign w:val="center"/>
          </w:tcPr>
          <w:p w14:paraId="64BBB62E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BB-CLI-005</w:t>
            </w:r>
          </w:p>
        </w:tc>
        <w:tc>
          <w:tcPr>
            <w:tcW w:w="2028" w:type="dxa"/>
            <w:vAlign w:val="center"/>
          </w:tcPr>
          <w:p w14:paraId="1048E53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Excursiones de temperatura en estudios patrocinados</w:t>
            </w:r>
          </w:p>
        </w:tc>
        <w:tc>
          <w:tcPr>
            <w:tcW w:w="2028" w:type="dxa"/>
            <w:vAlign w:val="center"/>
          </w:tcPr>
          <w:p w14:paraId="578F4FE4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No</w:t>
            </w:r>
          </w:p>
        </w:tc>
        <w:tc>
          <w:tcPr>
            <w:tcW w:w="2028" w:type="dxa"/>
            <w:vAlign w:val="center"/>
          </w:tcPr>
          <w:p w14:paraId="2FF8CBE6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76B309D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 xml:space="preserve">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Sponsor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>/CRO según caso</w:t>
            </w:r>
          </w:p>
        </w:tc>
      </w:tr>
      <w:tr w:rsidR="009671FF" w:rsidRPr="002B7241" w14:paraId="7E422F5C" w14:textId="77777777">
        <w:tc>
          <w:tcPr>
            <w:tcW w:w="2028" w:type="dxa"/>
            <w:vAlign w:val="center"/>
          </w:tcPr>
          <w:p w14:paraId="75F400C2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BB-CLI-006</w:t>
            </w:r>
          </w:p>
        </w:tc>
        <w:tc>
          <w:tcPr>
            <w:tcW w:w="2028" w:type="dxa"/>
            <w:vAlign w:val="center"/>
          </w:tcPr>
          <w:p w14:paraId="2CCE13CE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Visitas de </w:t>
            </w:r>
            <w:proofErr w:type="spellStart"/>
            <w:r w:rsidRPr="002B7241">
              <w:rPr>
                <w:color w:val="000000" w:themeColor="text1"/>
                <w:sz w:val="15"/>
                <w:lang w:val="es-ES"/>
              </w:rPr>
              <w:t>monitoría</w:t>
            </w:r>
            <w:proofErr w:type="spellEnd"/>
            <w:r w:rsidRPr="002B7241">
              <w:rPr>
                <w:color w:val="000000" w:themeColor="text1"/>
                <w:sz w:val="15"/>
                <w:lang w:val="es-ES"/>
              </w:rPr>
              <w:t>, auditorías de patrocinadores y autoridades</w:t>
            </w:r>
          </w:p>
        </w:tc>
        <w:tc>
          <w:tcPr>
            <w:tcW w:w="2028" w:type="dxa"/>
            <w:vAlign w:val="center"/>
          </w:tcPr>
          <w:p w14:paraId="78DA8CF1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No</w:t>
            </w:r>
          </w:p>
        </w:tc>
        <w:tc>
          <w:tcPr>
            <w:tcW w:w="2028" w:type="dxa"/>
            <w:vAlign w:val="center"/>
          </w:tcPr>
          <w:p w14:paraId="735DE1D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73AE3C0A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 xml:space="preserve">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Sponsor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>/CRO según caso</w:t>
            </w:r>
          </w:p>
        </w:tc>
      </w:tr>
      <w:tr w:rsidR="009671FF" w:rsidRPr="002B7241" w14:paraId="68522FB9" w14:textId="77777777">
        <w:tc>
          <w:tcPr>
            <w:tcW w:w="2028" w:type="dxa"/>
            <w:vAlign w:val="center"/>
          </w:tcPr>
          <w:p w14:paraId="4C1FD3A2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BB-CLI-007</w:t>
            </w:r>
          </w:p>
        </w:tc>
        <w:tc>
          <w:tcPr>
            <w:tcW w:w="2028" w:type="dxa"/>
            <w:vAlign w:val="center"/>
          </w:tcPr>
          <w:p w14:paraId="7C06C76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Preparación y envío nacional/internacional de muestras de protocolos clínicos</w:t>
            </w:r>
          </w:p>
        </w:tc>
        <w:tc>
          <w:tcPr>
            <w:tcW w:w="2028" w:type="dxa"/>
            <w:vAlign w:val="center"/>
          </w:tcPr>
          <w:p w14:paraId="2B1C237E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No</w:t>
            </w:r>
          </w:p>
        </w:tc>
        <w:tc>
          <w:tcPr>
            <w:tcW w:w="2028" w:type="dxa"/>
            <w:vAlign w:val="center"/>
          </w:tcPr>
          <w:p w14:paraId="718A5C4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6403293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 xml:space="preserve">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Sponsor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>/CRO según caso</w:t>
            </w:r>
          </w:p>
        </w:tc>
      </w:tr>
      <w:tr w:rsidR="009671FF" w:rsidRPr="002B7241" w14:paraId="2642D169" w14:textId="77777777">
        <w:tc>
          <w:tcPr>
            <w:tcW w:w="2028" w:type="dxa"/>
            <w:vAlign w:val="center"/>
          </w:tcPr>
          <w:p w14:paraId="33FDC43E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BB-CLI-008</w:t>
            </w:r>
          </w:p>
        </w:tc>
        <w:tc>
          <w:tcPr>
            <w:tcW w:w="2028" w:type="dxa"/>
            <w:vAlign w:val="center"/>
          </w:tcPr>
          <w:p w14:paraId="295E57EA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Archivo esencial del servicio/estudio</w:t>
            </w:r>
          </w:p>
        </w:tc>
        <w:tc>
          <w:tcPr>
            <w:tcW w:w="2028" w:type="dxa"/>
            <w:vAlign w:val="center"/>
          </w:tcPr>
          <w:p w14:paraId="235F7A3C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No</w:t>
            </w:r>
          </w:p>
        </w:tc>
        <w:tc>
          <w:tcPr>
            <w:tcW w:w="2028" w:type="dxa"/>
            <w:vAlign w:val="center"/>
          </w:tcPr>
          <w:p w14:paraId="20E11B8D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76EABC32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 xml:space="preserve">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Sponsor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>/CRO según caso</w:t>
            </w:r>
          </w:p>
        </w:tc>
      </w:tr>
      <w:tr w:rsidR="009671FF" w:rsidRPr="002B7241" w14:paraId="1FE666BE" w14:textId="77777777">
        <w:tc>
          <w:tcPr>
            <w:tcW w:w="2028" w:type="dxa"/>
            <w:vAlign w:val="center"/>
          </w:tcPr>
          <w:p w14:paraId="6C687DBC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BB-CLI-009</w:t>
            </w:r>
          </w:p>
        </w:tc>
        <w:tc>
          <w:tcPr>
            <w:tcW w:w="2028" w:type="dxa"/>
            <w:vAlign w:val="center"/>
          </w:tcPr>
          <w:p w14:paraId="7FAC9845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Cierre de protocolo/servicio y disposición final</w:t>
            </w:r>
          </w:p>
        </w:tc>
        <w:tc>
          <w:tcPr>
            <w:tcW w:w="2028" w:type="dxa"/>
            <w:vAlign w:val="center"/>
          </w:tcPr>
          <w:p w14:paraId="1B5A7C64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No</w:t>
            </w:r>
          </w:p>
        </w:tc>
        <w:tc>
          <w:tcPr>
            <w:tcW w:w="2028" w:type="dxa"/>
            <w:vAlign w:val="center"/>
          </w:tcPr>
          <w:p w14:paraId="7962BC66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>Sí</w:t>
            </w:r>
          </w:p>
        </w:tc>
        <w:tc>
          <w:tcPr>
            <w:tcW w:w="2028" w:type="dxa"/>
            <w:vAlign w:val="center"/>
          </w:tcPr>
          <w:p w14:paraId="5BE29E7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5"/>
                <w:lang w:val="es-ES"/>
              </w:rPr>
              <w:t xml:space="preserve">Técnico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Director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 xml:space="preserve"> + </w:t>
            </w:r>
            <w:proofErr w:type="gramStart"/>
            <w:r w:rsidRPr="002B7241">
              <w:rPr>
                <w:color w:val="000000" w:themeColor="text1"/>
                <w:sz w:val="15"/>
                <w:lang w:val="es-ES"/>
              </w:rPr>
              <w:t>Sponsor</w:t>
            </w:r>
            <w:proofErr w:type="gramEnd"/>
            <w:r w:rsidRPr="002B7241">
              <w:rPr>
                <w:color w:val="000000" w:themeColor="text1"/>
                <w:sz w:val="15"/>
                <w:lang w:val="es-ES"/>
              </w:rPr>
              <w:t>/CRO según caso</w:t>
            </w:r>
          </w:p>
        </w:tc>
      </w:tr>
    </w:tbl>
    <w:p w14:paraId="6500583E" w14:textId="77777777" w:rsidR="009671FF" w:rsidRPr="002B7241" w:rsidRDefault="00000000" w:rsidP="002B7241">
      <w:pPr>
        <w:pStyle w:val="Ttulo1"/>
        <w:jc w:val="both"/>
        <w:rPr>
          <w:color w:val="000000" w:themeColor="text1"/>
          <w:lang w:val="es-ES"/>
        </w:rPr>
      </w:pPr>
      <w:r w:rsidRPr="002B7241">
        <w:rPr>
          <w:color w:val="000000" w:themeColor="text1"/>
          <w:lang w:val="es-ES"/>
        </w:rPr>
        <w:t>2. Matriz normativa - estado verificado al 04/09/2026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9671FF" w:rsidRPr="002B7241" w14:paraId="047B8EC5" w14:textId="77777777">
        <w:tc>
          <w:tcPr>
            <w:tcW w:w="3381" w:type="dxa"/>
            <w:shd w:val="clear" w:color="auto" w:fill="D9EAF7"/>
            <w:vAlign w:val="center"/>
          </w:tcPr>
          <w:p w14:paraId="59463ED4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b/>
                <w:color w:val="000000" w:themeColor="text1"/>
                <w:sz w:val="16"/>
                <w:lang w:val="es-ES"/>
              </w:rPr>
              <w:t>Norma/Referencia</w:t>
            </w:r>
          </w:p>
        </w:tc>
        <w:tc>
          <w:tcPr>
            <w:tcW w:w="3381" w:type="dxa"/>
            <w:shd w:val="clear" w:color="auto" w:fill="D9EAF7"/>
            <w:vAlign w:val="center"/>
          </w:tcPr>
          <w:p w14:paraId="76E531F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b/>
                <w:color w:val="000000" w:themeColor="text1"/>
                <w:sz w:val="16"/>
                <w:lang w:val="es-ES"/>
              </w:rPr>
              <w:t>Estado</w:t>
            </w:r>
          </w:p>
        </w:tc>
        <w:tc>
          <w:tcPr>
            <w:tcW w:w="3381" w:type="dxa"/>
            <w:shd w:val="clear" w:color="auto" w:fill="D9EAF7"/>
            <w:vAlign w:val="center"/>
          </w:tcPr>
          <w:p w14:paraId="51BAC09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b/>
                <w:color w:val="000000" w:themeColor="text1"/>
                <w:sz w:val="16"/>
                <w:lang w:val="es-ES"/>
              </w:rPr>
              <w:t>Aplicación propuesta</w:t>
            </w:r>
          </w:p>
        </w:tc>
      </w:tr>
      <w:tr w:rsidR="009671FF" w:rsidRPr="002B7241" w14:paraId="49BCC408" w14:textId="77777777">
        <w:tc>
          <w:tcPr>
            <w:tcW w:w="3381" w:type="dxa"/>
            <w:vAlign w:val="center"/>
          </w:tcPr>
          <w:p w14:paraId="1320BF3C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Resolución MS 2940/2020</w:t>
            </w:r>
          </w:p>
        </w:tc>
        <w:tc>
          <w:tcPr>
            <w:tcW w:w="3381" w:type="dxa"/>
            <w:vAlign w:val="center"/>
          </w:tcPr>
          <w:p w14:paraId="6A5525F4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Vigente</w:t>
            </w:r>
          </w:p>
        </w:tc>
        <w:tc>
          <w:tcPr>
            <w:tcW w:w="3381" w:type="dxa"/>
            <w:vAlign w:val="center"/>
          </w:tcPr>
          <w:p w14:paraId="5F9DF494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Marco nacional específico para biobancos de muestras humanas con fines de investigación. Base del sistema de gobierno, calidad, consentimiento y operación.</w:t>
            </w:r>
          </w:p>
        </w:tc>
      </w:tr>
      <w:tr w:rsidR="009671FF" w:rsidRPr="002B7241" w14:paraId="761A0788" w14:textId="77777777">
        <w:tc>
          <w:tcPr>
            <w:tcW w:w="3381" w:type="dxa"/>
            <w:vAlign w:val="center"/>
          </w:tcPr>
          <w:p w14:paraId="69B940D1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Resolución MS 1480/2011</w:t>
            </w:r>
          </w:p>
        </w:tc>
        <w:tc>
          <w:tcPr>
            <w:tcW w:w="3381" w:type="dxa"/>
            <w:vAlign w:val="center"/>
          </w:tcPr>
          <w:p w14:paraId="02F890E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Vigente / complementada</w:t>
            </w:r>
          </w:p>
        </w:tc>
        <w:tc>
          <w:tcPr>
            <w:tcW w:w="3381" w:type="dxa"/>
            <w:vAlign w:val="center"/>
          </w:tcPr>
          <w:p w14:paraId="14DCCFBB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Guía para investigaciones en salud humana; la Res. 2940/2020 la complementa para biobancos.</w:t>
            </w:r>
          </w:p>
        </w:tc>
      </w:tr>
      <w:tr w:rsidR="009671FF" w:rsidRPr="002B7241" w14:paraId="5577B323" w14:textId="77777777">
        <w:tc>
          <w:tcPr>
            <w:tcW w:w="3381" w:type="dxa"/>
            <w:vAlign w:val="center"/>
          </w:tcPr>
          <w:p w14:paraId="5F9FF200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Ley 25.326</w:t>
            </w:r>
          </w:p>
        </w:tc>
        <w:tc>
          <w:tcPr>
            <w:tcW w:w="3381" w:type="dxa"/>
            <w:vAlign w:val="center"/>
          </w:tcPr>
          <w:p w14:paraId="1613E51C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Vigente</w:t>
            </w:r>
          </w:p>
        </w:tc>
        <w:tc>
          <w:tcPr>
            <w:tcW w:w="3381" w:type="dxa"/>
            <w:vAlign w:val="center"/>
          </w:tcPr>
          <w:p w14:paraId="1449275C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Protección de datos personales; aplicable a datos asociados y medidas de confidencialidad.</w:t>
            </w:r>
          </w:p>
        </w:tc>
      </w:tr>
      <w:tr w:rsidR="009671FF" w:rsidRPr="002B7241" w14:paraId="6D92FCB0" w14:textId="77777777">
        <w:tc>
          <w:tcPr>
            <w:tcW w:w="3381" w:type="dxa"/>
            <w:vAlign w:val="center"/>
          </w:tcPr>
          <w:p w14:paraId="6C2020D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Ley 26.529 + Ley 26.742</w:t>
            </w:r>
          </w:p>
        </w:tc>
        <w:tc>
          <w:tcPr>
            <w:tcW w:w="3381" w:type="dxa"/>
            <w:vAlign w:val="center"/>
          </w:tcPr>
          <w:p w14:paraId="27983A10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Vigente</w:t>
            </w:r>
          </w:p>
        </w:tc>
        <w:tc>
          <w:tcPr>
            <w:tcW w:w="3381" w:type="dxa"/>
            <w:vAlign w:val="center"/>
          </w:tcPr>
          <w:p w14:paraId="15F83196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Derechos del paciente, información y consentimiento en el ámbito sanitario.</w:t>
            </w:r>
          </w:p>
        </w:tc>
      </w:tr>
      <w:tr w:rsidR="009671FF" w:rsidRPr="002B7241" w14:paraId="5A06BE8B" w14:textId="77777777">
        <w:tc>
          <w:tcPr>
            <w:tcW w:w="3381" w:type="dxa"/>
            <w:vAlign w:val="center"/>
          </w:tcPr>
          <w:p w14:paraId="3AF4EACB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Código Civil y Comercial, arts. 58 y 59</w:t>
            </w:r>
          </w:p>
        </w:tc>
        <w:tc>
          <w:tcPr>
            <w:tcW w:w="3381" w:type="dxa"/>
            <w:vAlign w:val="center"/>
          </w:tcPr>
          <w:p w14:paraId="60E0352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Vigente</w:t>
            </w:r>
          </w:p>
        </w:tc>
        <w:tc>
          <w:tcPr>
            <w:tcW w:w="3381" w:type="dxa"/>
            <w:vAlign w:val="center"/>
          </w:tcPr>
          <w:p w14:paraId="1463F6FB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Investigación en seres humanos y consentimiento informado, cuando resulte aplicable.</w:t>
            </w:r>
          </w:p>
        </w:tc>
      </w:tr>
      <w:tr w:rsidR="009671FF" w:rsidRPr="002B7241" w14:paraId="4EE13FE6" w14:textId="77777777">
        <w:tc>
          <w:tcPr>
            <w:tcW w:w="3381" w:type="dxa"/>
            <w:vAlign w:val="center"/>
          </w:tcPr>
          <w:p w14:paraId="4FC8BFA6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lastRenderedPageBreak/>
              <w:t>Ley PBA 15.462</w:t>
            </w:r>
          </w:p>
        </w:tc>
        <w:tc>
          <w:tcPr>
            <w:tcW w:w="3381" w:type="dxa"/>
            <w:vAlign w:val="center"/>
          </w:tcPr>
          <w:p w14:paraId="636D2562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Vigente</w:t>
            </w:r>
          </w:p>
        </w:tc>
        <w:tc>
          <w:tcPr>
            <w:tcW w:w="3381" w:type="dxa"/>
            <w:vAlign w:val="center"/>
          </w:tcPr>
          <w:p w14:paraId="6D4017E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Regula la investigación en salud en Provincia de Buenos Aires; derogó Ley 11.044.</w:t>
            </w:r>
          </w:p>
        </w:tc>
      </w:tr>
      <w:tr w:rsidR="009671FF" w:rsidRPr="002B7241" w14:paraId="0F98D20E" w14:textId="77777777">
        <w:tc>
          <w:tcPr>
            <w:tcW w:w="3381" w:type="dxa"/>
            <w:vAlign w:val="center"/>
          </w:tcPr>
          <w:p w14:paraId="325D2BB4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Decreto PBA 3389/2024</w:t>
            </w:r>
          </w:p>
        </w:tc>
        <w:tc>
          <w:tcPr>
            <w:tcW w:w="3381" w:type="dxa"/>
            <w:vAlign w:val="center"/>
          </w:tcPr>
          <w:p w14:paraId="3B62675E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Vigente</w:t>
            </w:r>
          </w:p>
        </w:tc>
        <w:tc>
          <w:tcPr>
            <w:tcW w:w="3381" w:type="dxa"/>
            <w:vAlign w:val="center"/>
          </w:tcPr>
          <w:p w14:paraId="492445DC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Reglamenta Ley 15.462 y derogó Decreto 3385/2008.</w:t>
            </w:r>
          </w:p>
        </w:tc>
      </w:tr>
      <w:tr w:rsidR="009671FF" w:rsidRPr="002B7241" w14:paraId="1B26499D" w14:textId="77777777">
        <w:tc>
          <w:tcPr>
            <w:tcW w:w="3381" w:type="dxa"/>
            <w:vAlign w:val="center"/>
          </w:tcPr>
          <w:p w14:paraId="74BF215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Disposición ANMAT 7516/2025</w:t>
            </w:r>
          </w:p>
        </w:tc>
        <w:tc>
          <w:tcPr>
            <w:tcW w:w="3381" w:type="dxa"/>
            <w:vAlign w:val="center"/>
          </w:tcPr>
          <w:p w14:paraId="636F515C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Vigente desde 01/12/2025</w:t>
            </w:r>
          </w:p>
        </w:tc>
        <w:tc>
          <w:tcPr>
            <w:tcW w:w="3381" w:type="dxa"/>
            <w:vAlign w:val="center"/>
          </w:tcPr>
          <w:p w14:paraId="40912431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Régimen de BPC para estudios de farmacología clínica con fines registrales comprendidos; adopta ICH E6(R3) y derogó 6677/2010.</w:t>
            </w:r>
          </w:p>
        </w:tc>
      </w:tr>
      <w:tr w:rsidR="009671FF" w:rsidRPr="002B7241" w14:paraId="7664BC24" w14:textId="77777777">
        <w:tc>
          <w:tcPr>
            <w:tcW w:w="3381" w:type="dxa"/>
            <w:vAlign w:val="center"/>
          </w:tcPr>
          <w:p w14:paraId="26E2CF66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Disposición ANMAT 6677/2010</w:t>
            </w:r>
          </w:p>
        </w:tc>
        <w:tc>
          <w:tcPr>
            <w:tcW w:w="3381" w:type="dxa"/>
            <w:vAlign w:val="center"/>
          </w:tcPr>
          <w:p w14:paraId="663B3AD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Derogada</w:t>
            </w:r>
          </w:p>
        </w:tc>
        <w:tc>
          <w:tcPr>
            <w:tcW w:w="3381" w:type="dxa"/>
            <w:vAlign w:val="center"/>
          </w:tcPr>
          <w:p w14:paraId="094D528E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No utilizar como norma vigente para nuevos procedimientos alcanzados por 7516/2025.</w:t>
            </w:r>
          </w:p>
        </w:tc>
      </w:tr>
      <w:tr w:rsidR="009671FF" w:rsidRPr="002B7241" w14:paraId="5764EDBD" w14:textId="77777777">
        <w:tc>
          <w:tcPr>
            <w:tcW w:w="3381" w:type="dxa"/>
            <w:vAlign w:val="center"/>
          </w:tcPr>
          <w:p w14:paraId="1192B7E1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Ley PBA 11.044</w:t>
            </w:r>
          </w:p>
        </w:tc>
        <w:tc>
          <w:tcPr>
            <w:tcW w:w="3381" w:type="dxa"/>
            <w:vAlign w:val="center"/>
          </w:tcPr>
          <w:p w14:paraId="44A4DD86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Derogada</w:t>
            </w:r>
          </w:p>
        </w:tc>
        <w:tc>
          <w:tcPr>
            <w:tcW w:w="3381" w:type="dxa"/>
            <w:vAlign w:val="center"/>
          </w:tcPr>
          <w:p w14:paraId="03D32CA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No utilizar como referencia vigente; reemplazada por Ley 15.462.</w:t>
            </w:r>
          </w:p>
        </w:tc>
      </w:tr>
      <w:tr w:rsidR="009671FF" w:rsidRPr="002B7241" w14:paraId="042621B4" w14:textId="77777777">
        <w:tc>
          <w:tcPr>
            <w:tcW w:w="3381" w:type="dxa"/>
            <w:vAlign w:val="center"/>
          </w:tcPr>
          <w:p w14:paraId="56015B2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Decreto PBA 3385/2008</w:t>
            </w:r>
          </w:p>
        </w:tc>
        <w:tc>
          <w:tcPr>
            <w:tcW w:w="3381" w:type="dxa"/>
            <w:vAlign w:val="center"/>
          </w:tcPr>
          <w:p w14:paraId="0D12CBCD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Derogado</w:t>
            </w:r>
          </w:p>
        </w:tc>
        <w:tc>
          <w:tcPr>
            <w:tcW w:w="3381" w:type="dxa"/>
            <w:vAlign w:val="center"/>
          </w:tcPr>
          <w:p w14:paraId="252128C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Reemplazado por Decreto 3389/2024.</w:t>
            </w:r>
          </w:p>
        </w:tc>
      </w:tr>
      <w:tr w:rsidR="009671FF" w:rsidRPr="002B7241" w14:paraId="492F97AF" w14:textId="77777777">
        <w:tc>
          <w:tcPr>
            <w:tcW w:w="3381" w:type="dxa"/>
            <w:vAlign w:val="center"/>
          </w:tcPr>
          <w:p w14:paraId="45E7ADD6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ISO 20387:2018</w:t>
            </w:r>
          </w:p>
        </w:tc>
        <w:tc>
          <w:tcPr>
            <w:tcW w:w="3381" w:type="dxa"/>
            <w:vAlign w:val="center"/>
          </w:tcPr>
          <w:p w14:paraId="6404D47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Referencia voluntaria</w:t>
            </w:r>
          </w:p>
        </w:tc>
        <w:tc>
          <w:tcPr>
            <w:tcW w:w="3381" w:type="dxa"/>
            <w:vAlign w:val="center"/>
          </w:tcPr>
          <w:p w14:paraId="2857BE6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 xml:space="preserve">Buenas prácticas/competencia para </w:t>
            </w:r>
            <w:proofErr w:type="spellStart"/>
            <w:r w:rsidRPr="002B7241">
              <w:rPr>
                <w:color w:val="000000" w:themeColor="text1"/>
                <w:sz w:val="16"/>
                <w:lang w:val="es-ES"/>
              </w:rPr>
              <w:t>biobanking</w:t>
            </w:r>
            <w:proofErr w:type="spellEnd"/>
            <w:r w:rsidRPr="002B7241">
              <w:rPr>
                <w:color w:val="000000" w:themeColor="text1"/>
                <w:sz w:val="16"/>
                <w:lang w:val="es-ES"/>
              </w:rPr>
              <w:t>; útil como objetivo de madurez o futura acreditación.</w:t>
            </w:r>
          </w:p>
        </w:tc>
      </w:tr>
      <w:tr w:rsidR="009671FF" w:rsidRPr="002B7241" w14:paraId="1A9B6B8B" w14:textId="77777777">
        <w:tc>
          <w:tcPr>
            <w:tcW w:w="3381" w:type="dxa"/>
            <w:vAlign w:val="center"/>
          </w:tcPr>
          <w:p w14:paraId="41DAE57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 xml:space="preserve">ISBER Best </w:t>
            </w:r>
            <w:proofErr w:type="spellStart"/>
            <w:r w:rsidRPr="002B7241">
              <w:rPr>
                <w:color w:val="000000" w:themeColor="text1"/>
                <w:sz w:val="16"/>
                <w:lang w:val="es-ES"/>
              </w:rPr>
              <w:t>Practices</w:t>
            </w:r>
            <w:proofErr w:type="spellEnd"/>
          </w:p>
        </w:tc>
        <w:tc>
          <w:tcPr>
            <w:tcW w:w="3381" w:type="dxa"/>
            <w:vAlign w:val="center"/>
          </w:tcPr>
          <w:p w14:paraId="05A3199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Referencia voluntaria</w:t>
            </w:r>
          </w:p>
        </w:tc>
        <w:tc>
          <w:tcPr>
            <w:tcW w:w="3381" w:type="dxa"/>
            <w:vAlign w:val="center"/>
          </w:tcPr>
          <w:p w14:paraId="5D18C71C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Guía técnica complementaria para repositorios.</w:t>
            </w:r>
          </w:p>
        </w:tc>
      </w:tr>
    </w:tbl>
    <w:p w14:paraId="57797C53" w14:textId="77777777" w:rsidR="009671FF" w:rsidRPr="002B7241" w:rsidRDefault="00000000" w:rsidP="002B7241">
      <w:pPr>
        <w:pStyle w:val="Ttulo1"/>
        <w:jc w:val="both"/>
        <w:rPr>
          <w:color w:val="000000" w:themeColor="text1"/>
          <w:lang w:val="es-ES"/>
        </w:rPr>
      </w:pPr>
      <w:r w:rsidRPr="002B7241">
        <w:rPr>
          <w:color w:val="000000" w:themeColor="text1"/>
          <w:lang w:val="es-ES"/>
        </w:rPr>
        <w:t>3. Consentimientos - esquema institucional propuesto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9671FF" w:rsidRPr="002B7241" w14:paraId="5075A1DC" w14:textId="77777777">
        <w:tc>
          <w:tcPr>
            <w:tcW w:w="2535" w:type="dxa"/>
            <w:shd w:val="clear" w:color="auto" w:fill="D9EAF7"/>
            <w:vAlign w:val="center"/>
          </w:tcPr>
          <w:p w14:paraId="6AA36B45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b/>
                <w:color w:val="000000" w:themeColor="text1"/>
                <w:sz w:val="16"/>
                <w:lang w:val="es-ES"/>
              </w:rPr>
              <w:t>Código sugerido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1A571E3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b/>
                <w:color w:val="000000" w:themeColor="text1"/>
                <w:sz w:val="16"/>
                <w:lang w:val="es-ES"/>
              </w:rPr>
              <w:t>Tipo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1B2F1041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b/>
                <w:color w:val="000000" w:themeColor="text1"/>
                <w:sz w:val="16"/>
                <w:lang w:val="es-ES"/>
              </w:rPr>
              <w:t>Uso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778F5325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b/>
                <w:color w:val="000000" w:themeColor="text1"/>
                <w:sz w:val="16"/>
                <w:lang w:val="es-ES"/>
              </w:rPr>
              <w:t>Puntos mínimos</w:t>
            </w:r>
          </w:p>
        </w:tc>
      </w:tr>
      <w:tr w:rsidR="009671FF" w:rsidRPr="002B7241" w14:paraId="47D2AFF5" w14:textId="77777777">
        <w:tc>
          <w:tcPr>
            <w:tcW w:w="2535" w:type="dxa"/>
            <w:vAlign w:val="center"/>
          </w:tcPr>
          <w:p w14:paraId="4BCF52A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CI-BB-01</w:t>
            </w:r>
          </w:p>
        </w:tc>
        <w:tc>
          <w:tcPr>
            <w:tcW w:w="2535" w:type="dxa"/>
            <w:vAlign w:val="center"/>
          </w:tcPr>
          <w:p w14:paraId="6BA2D9C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Específico</w:t>
            </w:r>
          </w:p>
        </w:tc>
        <w:tc>
          <w:tcPr>
            <w:tcW w:w="2535" w:type="dxa"/>
            <w:vAlign w:val="center"/>
          </w:tcPr>
          <w:p w14:paraId="6189DD4B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Proyecto/estudio definido</w:t>
            </w:r>
          </w:p>
        </w:tc>
        <w:tc>
          <w:tcPr>
            <w:tcW w:w="2535" w:type="dxa"/>
            <w:vAlign w:val="center"/>
          </w:tcPr>
          <w:p w14:paraId="00FB6808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Finalidad, procedimientos, guarda, datos, riesgos, retiro, contacto, CEI.</w:t>
            </w:r>
          </w:p>
        </w:tc>
      </w:tr>
      <w:tr w:rsidR="009671FF" w:rsidRPr="002B7241" w14:paraId="535933AE" w14:textId="77777777">
        <w:tc>
          <w:tcPr>
            <w:tcW w:w="2535" w:type="dxa"/>
            <w:vAlign w:val="center"/>
          </w:tcPr>
          <w:p w14:paraId="78B5148E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CI-BB-02</w:t>
            </w:r>
          </w:p>
        </w:tc>
        <w:tc>
          <w:tcPr>
            <w:tcW w:w="2535" w:type="dxa"/>
            <w:vAlign w:val="center"/>
          </w:tcPr>
          <w:p w14:paraId="55E28CFC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Amplio</w:t>
            </w:r>
          </w:p>
        </w:tc>
        <w:tc>
          <w:tcPr>
            <w:tcW w:w="2535" w:type="dxa"/>
            <w:vAlign w:val="center"/>
          </w:tcPr>
          <w:p w14:paraId="6F47940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Biobanco / investigaciones futuras</w:t>
            </w:r>
          </w:p>
        </w:tc>
        <w:tc>
          <w:tcPr>
            <w:tcW w:w="2535" w:type="dxa"/>
            <w:vAlign w:val="center"/>
          </w:tcPr>
          <w:p w14:paraId="2807EE9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 xml:space="preserve">Gobernanza, opciones/restricciones, futuros usos, privacidad, </w:t>
            </w:r>
            <w:proofErr w:type="spellStart"/>
            <w:r w:rsidRPr="002B7241">
              <w:rPr>
                <w:color w:val="000000" w:themeColor="text1"/>
                <w:sz w:val="16"/>
                <w:lang w:val="es-ES"/>
              </w:rPr>
              <w:t>recontacto</w:t>
            </w:r>
            <w:proofErr w:type="spellEnd"/>
            <w:r w:rsidRPr="002B7241">
              <w:rPr>
                <w:color w:val="000000" w:themeColor="text1"/>
                <w:sz w:val="16"/>
                <w:lang w:val="es-ES"/>
              </w:rPr>
              <w:t>/hallazgos si se ofrecen, revocación.</w:t>
            </w:r>
          </w:p>
        </w:tc>
      </w:tr>
      <w:tr w:rsidR="009671FF" w:rsidRPr="002B7241" w14:paraId="778F2826" w14:textId="77777777">
        <w:tc>
          <w:tcPr>
            <w:tcW w:w="2535" w:type="dxa"/>
            <w:vAlign w:val="center"/>
          </w:tcPr>
          <w:p w14:paraId="20207AB9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CI-BB-03</w:t>
            </w:r>
          </w:p>
        </w:tc>
        <w:tc>
          <w:tcPr>
            <w:tcW w:w="2535" w:type="dxa"/>
            <w:vAlign w:val="center"/>
          </w:tcPr>
          <w:p w14:paraId="1910BCE3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Combinado</w:t>
            </w:r>
          </w:p>
        </w:tc>
        <w:tc>
          <w:tcPr>
            <w:tcW w:w="2535" w:type="dxa"/>
            <w:vAlign w:val="center"/>
          </w:tcPr>
          <w:p w14:paraId="322B145A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Estudio específico + opción separada de futura guarda</w:t>
            </w:r>
          </w:p>
        </w:tc>
        <w:tc>
          <w:tcPr>
            <w:tcW w:w="2535" w:type="dxa"/>
            <w:vAlign w:val="center"/>
          </w:tcPr>
          <w:p w14:paraId="39B889E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Dos decisiones independientes y claramente diferenciadas; requiere aprobación CEI.</w:t>
            </w:r>
          </w:p>
        </w:tc>
      </w:tr>
      <w:tr w:rsidR="009671FF" w:rsidRPr="002B7241" w14:paraId="08E41D8B" w14:textId="77777777">
        <w:tc>
          <w:tcPr>
            <w:tcW w:w="2535" w:type="dxa"/>
            <w:vAlign w:val="center"/>
          </w:tcPr>
          <w:p w14:paraId="4A0433B6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CI-BB-04</w:t>
            </w:r>
          </w:p>
        </w:tc>
        <w:tc>
          <w:tcPr>
            <w:tcW w:w="2535" w:type="dxa"/>
            <w:vAlign w:val="center"/>
          </w:tcPr>
          <w:p w14:paraId="1E40BB57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Menores / representante</w:t>
            </w:r>
          </w:p>
        </w:tc>
        <w:tc>
          <w:tcPr>
            <w:tcW w:w="2535" w:type="dxa"/>
            <w:vAlign w:val="center"/>
          </w:tcPr>
          <w:p w14:paraId="345FB380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Cuando participante no consiente por sí</w:t>
            </w:r>
          </w:p>
        </w:tc>
        <w:tc>
          <w:tcPr>
            <w:tcW w:w="2535" w:type="dxa"/>
            <w:vAlign w:val="center"/>
          </w:tcPr>
          <w:p w14:paraId="5676067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 xml:space="preserve">Representación legal, asentimiento cuando corresponda, </w:t>
            </w:r>
            <w:proofErr w:type="spellStart"/>
            <w:r w:rsidRPr="002B7241">
              <w:rPr>
                <w:color w:val="000000" w:themeColor="text1"/>
                <w:sz w:val="16"/>
                <w:lang w:val="es-ES"/>
              </w:rPr>
              <w:t>reconsentimiento</w:t>
            </w:r>
            <w:proofErr w:type="spellEnd"/>
            <w:r w:rsidRPr="002B7241">
              <w:rPr>
                <w:color w:val="000000" w:themeColor="text1"/>
                <w:sz w:val="16"/>
                <w:lang w:val="es-ES"/>
              </w:rPr>
              <w:t xml:space="preserve"> según madurez/mayoría y CEI.</w:t>
            </w:r>
          </w:p>
        </w:tc>
      </w:tr>
      <w:tr w:rsidR="009671FF" w:rsidRPr="002B7241" w14:paraId="1A768564" w14:textId="77777777">
        <w:tc>
          <w:tcPr>
            <w:tcW w:w="2535" w:type="dxa"/>
            <w:vAlign w:val="center"/>
          </w:tcPr>
          <w:p w14:paraId="324E0416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CI-BB-05</w:t>
            </w:r>
          </w:p>
        </w:tc>
        <w:tc>
          <w:tcPr>
            <w:tcW w:w="2535" w:type="dxa"/>
            <w:vAlign w:val="center"/>
          </w:tcPr>
          <w:p w14:paraId="75FF885F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Revocación</w:t>
            </w:r>
          </w:p>
        </w:tc>
        <w:tc>
          <w:tcPr>
            <w:tcW w:w="2535" w:type="dxa"/>
            <w:vAlign w:val="center"/>
          </w:tcPr>
          <w:p w14:paraId="671F902E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Retiro/modificación de autorización</w:t>
            </w:r>
          </w:p>
        </w:tc>
        <w:tc>
          <w:tcPr>
            <w:tcW w:w="2535" w:type="dxa"/>
            <w:vAlign w:val="center"/>
          </w:tcPr>
          <w:p w14:paraId="40EB35AA" w14:textId="77777777" w:rsidR="009671FF" w:rsidRPr="002B7241" w:rsidRDefault="00000000" w:rsidP="002B7241">
            <w:pPr>
              <w:jc w:val="both"/>
              <w:rPr>
                <w:color w:val="000000" w:themeColor="text1"/>
                <w:lang w:val="es-ES"/>
              </w:rPr>
            </w:pPr>
            <w:r w:rsidRPr="002B7241">
              <w:rPr>
                <w:color w:val="000000" w:themeColor="text1"/>
                <w:sz w:val="16"/>
                <w:lang w:val="es-ES"/>
              </w:rPr>
              <w:t>Identificación codificada, alcance, fecha, acciones sobre muestras/datos y proyectos ya iniciados.</w:t>
            </w:r>
          </w:p>
        </w:tc>
      </w:tr>
    </w:tbl>
    <w:p w14:paraId="4FE7FD82" w14:textId="77777777" w:rsidR="009671FF" w:rsidRPr="002B7241" w:rsidRDefault="00000000" w:rsidP="002B7241">
      <w:pPr>
        <w:pStyle w:val="Ttulo1"/>
        <w:jc w:val="both"/>
        <w:rPr>
          <w:color w:val="000000" w:themeColor="text1"/>
          <w:lang w:val="es-ES"/>
        </w:rPr>
      </w:pPr>
      <w:r w:rsidRPr="002B7241">
        <w:rPr>
          <w:color w:val="000000" w:themeColor="text1"/>
          <w:lang w:val="es-ES"/>
        </w:rPr>
        <w:t>4. Puntos de revisión legal/ética antes de versión 1.0</w:t>
      </w:r>
    </w:p>
    <w:p w14:paraId="11F53634" w14:textId="77777777" w:rsidR="009671FF" w:rsidRPr="002B7241" w:rsidRDefault="00000000" w:rsidP="002B7241">
      <w:pPr>
        <w:pStyle w:val="Listaconvietas"/>
        <w:jc w:val="both"/>
        <w:rPr>
          <w:color w:val="000000" w:themeColor="text1"/>
          <w:lang w:val="es-ES"/>
        </w:rPr>
      </w:pPr>
      <w:r w:rsidRPr="002B7241">
        <w:rPr>
          <w:color w:val="000000" w:themeColor="text1"/>
          <w:lang w:val="es-ES"/>
        </w:rPr>
        <w:t>Confirmar por Asesoría Legal el modelo contractual de prestación de servicios a industria, régimen de aranceles y responsabilidades.</w:t>
      </w:r>
    </w:p>
    <w:p w14:paraId="072D116E" w14:textId="77777777" w:rsidR="009671FF" w:rsidRPr="002B7241" w:rsidRDefault="00000000" w:rsidP="002B7241">
      <w:pPr>
        <w:pStyle w:val="Listaconvietas"/>
        <w:jc w:val="both"/>
        <w:rPr>
          <w:color w:val="000000" w:themeColor="text1"/>
          <w:lang w:val="es-ES"/>
        </w:rPr>
      </w:pPr>
      <w:r w:rsidRPr="002B7241">
        <w:rPr>
          <w:color w:val="000000" w:themeColor="text1"/>
          <w:lang w:val="es-ES"/>
        </w:rPr>
        <w:t>Aprobar por CEI los modelos de consentimiento y procedimiento de revocación/</w:t>
      </w:r>
      <w:proofErr w:type="spellStart"/>
      <w:r w:rsidRPr="002B7241">
        <w:rPr>
          <w:color w:val="000000" w:themeColor="text1"/>
          <w:lang w:val="es-ES"/>
        </w:rPr>
        <w:t>reconsentimiento</w:t>
      </w:r>
      <w:proofErr w:type="spellEnd"/>
      <w:r w:rsidRPr="002B7241">
        <w:rPr>
          <w:color w:val="000000" w:themeColor="text1"/>
          <w:lang w:val="es-ES"/>
        </w:rPr>
        <w:t>.</w:t>
      </w:r>
    </w:p>
    <w:p w14:paraId="670266B3" w14:textId="77777777" w:rsidR="009671FF" w:rsidRPr="002B7241" w:rsidRDefault="00000000" w:rsidP="002B7241">
      <w:pPr>
        <w:pStyle w:val="Listaconvietas"/>
        <w:jc w:val="both"/>
        <w:rPr>
          <w:color w:val="000000" w:themeColor="text1"/>
          <w:lang w:val="es-ES"/>
        </w:rPr>
      </w:pPr>
      <w:r w:rsidRPr="002B7241">
        <w:rPr>
          <w:color w:val="000000" w:themeColor="text1"/>
          <w:lang w:val="es-ES"/>
        </w:rPr>
        <w:t xml:space="preserve">Definir política para hallazgos incidentales y </w:t>
      </w:r>
      <w:proofErr w:type="spellStart"/>
      <w:r w:rsidRPr="002B7241">
        <w:rPr>
          <w:color w:val="000000" w:themeColor="text1"/>
          <w:lang w:val="es-ES"/>
        </w:rPr>
        <w:t>recontacto</w:t>
      </w:r>
      <w:proofErr w:type="spellEnd"/>
      <w:r w:rsidRPr="002B7241">
        <w:rPr>
          <w:color w:val="000000" w:themeColor="text1"/>
          <w:lang w:val="es-ES"/>
        </w:rPr>
        <w:t>.</w:t>
      </w:r>
    </w:p>
    <w:p w14:paraId="622AD4A4" w14:textId="77777777" w:rsidR="009671FF" w:rsidRPr="002B7241" w:rsidRDefault="00000000" w:rsidP="002B7241">
      <w:pPr>
        <w:pStyle w:val="Listaconvietas"/>
        <w:jc w:val="both"/>
        <w:rPr>
          <w:color w:val="000000" w:themeColor="text1"/>
          <w:lang w:val="es-ES"/>
        </w:rPr>
      </w:pPr>
      <w:r w:rsidRPr="002B7241">
        <w:rPr>
          <w:color w:val="000000" w:themeColor="text1"/>
          <w:lang w:val="es-ES"/>
        </w:rPr>
        <w:t>Definir condiciones de transferencias internacionales de muestras y datos.</w:t>
      </w:r>
    </w:p>
    <w:p w14:paraId="202C7BD6" w14:textId="77777777" w:rsidR="009671FF" w:rsidRPr="002B7241" w:rsidRDefault="00000000" w:rsidP="002B7241">
      <w:pPr>
        <w:pStyle w:val="Listaconvietas"/>
        <w:jc w:val="both"/>
        <w:rPr>
          <w:color w:val="000000" w:themeColor="text1"/>
          <w:lang w:val="es-ES"/>
        </w:rPr>
      </w:pPr>
      <w:r w:rsidRPr="002B7241">
        <w:rPr>
          <w:color w:val="000000" w:themeColor="text1"/>
          <w:lang w:val="es-ES"/>
        </w:rPr>
        <w:t>Definir retención de registros por tipo de colección/estudio.</w:t>
      </w:r>
    </w:p>
    <w:p w14:paraId="65977591" w14:textId="77777777" w:rsidR="009671FF" w:rsidRPr="002B7241" w:rsidRDefault="00000000" w:rsidP="002B7241">
      <w:pPr>
        <w:pStyle w:val="Listaconvietas"/>
        <w:jc w:val="both"/>
        <w:rPr>
          <w:color w:val="000000" w:themeColor="text1"/>
          <w:lang w:val="es-ES"/>
        </w:rPr>
      </w:pPr>
      <w:r w:rsidRPr="002B7241">
        <w:rPr>
          <w:color w:val="000000" w:themeColor="text1"/>
          <w:lang w:val="es-ES"/>
        </w:rPr>
        <w:t>Revisar si el Dictamen provincial 046/2011 se mantendrá sólo como antecedente técnico compatible con la normativa vigente.</w:t>
      </w:r>
    </w:p>
    <w:p w14:paraId="65D4425D" w14:textId="709EAB48" w:rsidR="009671FF" w:rsidRPr="002B7241" w:rsidRDefault="009671FF" w:rsidP="002B7241">
      <w:pPr>
        <w:pStyle w:val="Listaconvietas"/>
        <w:numPr>
          <w:ilvl w:val="0"/>
          <w:numId w:val="0"/>
        </w:numPr>
        <w:ind w:left="360"/>
        <w:jc w:val="both"/>
        <w:rPr>
          <w:color w:val="000000" w:themeColor="text1"/>
          <w:lang w:val="es-ES"/>
        </w:rPr>
      </w:pPr>
    </w:p>
    <w:sectPr w:rsidR="009671FF" w:rsidRPr="002B7241" w:rsidSect="00034616">
      <w:headerReference w:type="default" r:id="rId8"/>
      <w:footerReference w:type="default" r:id="rId9"/>
      <w:pgSz w:w="12240" w:h="15840"/>
      <w:pgMar w:top="1020" w:right="96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C378E6" w14:textId="77777777" w:rsidR="00EB35B8" w:rsidRDefault="00EB35B8">
      <w:pPr>
        <w:spacing w:after="0" w:line="240" w:lineRule="auto"/>
      </w:pPr>
      <w:r>
        <w:separator/>
      </w:r>
    </w:p>
  </w:endnote>
  <w:endnote w:type="continuationSeparator" w:id="0">
    <w:p w14:paraId="30384FCB" w14:textId="77777777" w:rsidR="00EB35B8" w:rsidRDefault="00EB3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3C3893" w14:textId="2002AF73" w:rsidR="009671FF" w:rsidRDefault="009671FF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EF64EA" w14:textId="77777777" w:rsidR="00EB35B8" w:rsidRDefault="00EB35B8">
      <w:pPr>
        <w:spacing w:after="0" w:line="240" w:lineRule="auto"/>
      </w:pPr>
      <w:r>
        <w:separator/>
      </w:r>
    </w:p>
  </w:footnote>
  <w:footnote w:type="continuationSeparator" w:id="0">
    <w:p w14:paraId="0149887B" w14:textId="77777777" w:rsidR="00EB35B8" w:rsidRDefault="00EB3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A0C243" w14:textId="77777777" w:rsidR="009671FF" w:rsidRDefault="00000000">
    <w:pPr>
      <w:pStyle w:val="Encabezado"/>
      <w:jc w:val="right"/>
    </w:pPr>
    <w:proofErr w:type="spellStart"/>
    <w:r>
      <w:rPr>
        <w:sz w:val="16"/>
      </w:rPr>
      <w:t>Biobanco</w:t>
    </w:r>
    <w:proofErr w:type="spellEnd"/>
    <w:r>
      <w:rPr>
        <w:sz w:val="16"/>
      </w:rPr>
      <w:t xml:space="preserve"> HEC-CEMET | </w:t>
    </w:r>
    <w:proofErr w:type="spellStart"/>
    <w:r>
      <w:rPr>
        <w:sz w:val="16"/>
      </w:rPr>
      <w:t>Matriz</w:t>
    </w:r>
    <w:proofErr w:type="spellEnd"/>
    <w:r>
      <w:rPr>
        <w:sz w:val="16"/>
      </w:rPr>
      <w:t xml:space="preserve"> Maestra Documental y </w:t>
    </w:r>
    <w:proofErr w:type="spellStart"/>
    <w:r>
      <w:rPr>
        <w:sz w:val="16"/>
      </w:rPr>
      <w:t>Regulatoria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489917">
    <w:abstractNumId w:val="8"/>
  </w:num>
  <w:num w:numId="2" w16cid:durableId="1408771299">
    <w:abstractNumId w:val="6"/>
  </w:num>
  <w:num w:numId="3" w16cid:durableId="834567036">
    <w:abstractNumId w:val="5"/>
  </w:num>
  <w:num w:numId="4" w16cid:durableId="546647692">
    <w:abstractNumId w:val="4"/>
  </w:num>
  <w:num w:numId="5" w16cid:durableId="2049644361">
    <w:abstractNumId w:val="7"/>
  </w:num>
  <w:num w:numId="6" w16cid:durableId="1926649824">
    <w:abstractNumId w:val="3"/>
  </w:num>
  <w:num w:numId="7" w16cid:durableId="5834636">
    <w:abstractNumId w:val="2"/>
  </w:num>
  <w:num w:numId="8" w16cid:durableId="1275018586">
    <w:abstractNumId w:val="1"/>
  </w:num>
  <w:num w:numId="9" w16cid:durableId="16573425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105"/>
    <w:rsid w:val="002B7241"/>
    <w:rsid w:val="00326F90"/>
    <w:rsid w:val="009671FF"/>
    <w:rsid w:val="00AA1D8D"/>
    <w:rsid w:val="00B47730"/>
    <w:rsid w:val="00CB0664"/>
    <w:rsid w:val="00EB35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B63D42"/>
  <w14:defaultImageDpi w14:val="300"/>
  <w15:docId w15:val="{EA49FE17-1BC4-A14A-BDAC-314BBD214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i/>
      <w:color w:val="50505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1091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Manuel Ledesma</cp:lastModifiedBy>
  <cp:revision>2</cp:revision>
  <dcterms:created xsi:type="dcterms:W3CDTF">2013-12-23T23:15:00Z</dcterms:created>
  <dcterms:modified xsi:type="dcterms:W3CDTF">2026-09-04T21:23:00Z</dcterms:modified>
  <cp:category/>
</cp:coreProperties>
</file>