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1a1a2e"/>
          <w:sz w:val="56"/>
          <w:szCs w:val="56"/>
        </w:rPr>
        <w:t xml:space="preserve">PROJET MAM 4A</w:t>
      </w:r>
    </w:p>
    <w:p>
      <w:pPr>
        <w:spacing w:after="0" w:before="120"/>
        <w:jc w:val="center"/>
      </w:pPr>
      <w:r>
        <w:rPr>
          <w:rFonts w:ascii="Arial" w:cs="Arial" w:eastAsia="Arial" w:hAnsi="Arial"/>
          <w:color w:val="666666"/>
          <w:sz w:val="32"/>
          <w:szCs w:val="32"/>
        </w:rPr>
        <w:t xml:space="preserve">Moteur de Tarification Prédictif IARD</w:t>
      </w:r>
    </w:p>
    <w:p>
      <w:pPr>
        <w:spacing w:after="0" w:before="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400"/>
              <w:left w:type="dxa" w:w="600"/>
              <w:bottom w:type="dxa" w:w="400"/>
              <w:right w:type="dxa" w:w="600"/>
            </w:tcMar>
          </w:tcPr>
          <w:p>
            <w:pPr>
              <w:jc w:val="center"/>
            </w:pPr>
            <w:r>
              <w:rPr>
                <w:rFonts w:ascii="Arial" w:cs="Arial" w:eastAsia="Arial" w:hAnsi="Arial"/>
                <w:b/>
                <w:bCs/>
                <w:color w:val="c9a227"/>
                <w:sz w:val="28"/>
                <w:szCs w:val="28"/>
              </w:rPr>
              <w:t xml:space="preserve">PARTIE III</w:t>
            </w:r>
          </w:p>
          <w:p>
            <w:pPr>
              <w:spacing w:before="120"/>
              <w:jc w:val="center"/>
            </w:pPr>
            <w:r>
              <w:rPr>
                <w:rFonts w:ascii="Arial" w:cs="Arial" w:eastAsia="Arial" w:hAnsi="Arial"/>
                <w:b/>
                <w:bCs/>
                <w:color w:val="FFFFFF"/>
                <w:sz w:val="32"/>
                <w:szCs w:val="32"/>
              </w:rPr>
              <w:t xml:space="preserve">Comparaison des modèles &amp; Application Streamlit</w:t>
            </w:r>
          </w:p>
        </w:tc>
      </w:tr>
    </w:tbl>
    <w:p>
      <w:pPr>
        <w:spacing w:after="0" w:before="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c>
          <w:tcPr>
            <w:tcW w:type="dxa" w:w="20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1a1a2e"/>
                <w:sz w:val="20"/>
                <w:szCs w:val="20"/>
              </w:rPr>
              <w:t xml:space="preserve">Auteur</w:t>
            </w:r>
          </w:p>
        </w:tc>
        <w:tc>
          <w:tcPr>
            <w:tcW w:type="dxa" w:w="5026"/>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Cheikhna — Laflame</w:t>
            </w:r>
          </w:p>
        </w:tc>
        <w:tc>
          <w:tcPr>
            <w:tcW w:type="dxa" w:w="20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bCs/>
                <w:color w:val="1a1a2e"/>
                <w:sz w:val="20"/>
                <w:szCs w:val="20"/>
              </w:rPr>
              <w:t xml:space="preserve">Équipe</w:t>
            </w:r>
          </w:p>
        </w:tc>
        <w:tc>
          <w:tcPr>
            <w:tcW w:type="dxa" w:w="5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Marion (GLM Poisson)  ·  Mario (GLM Gamma)  ·  Cheikhna (Comparaison + App)</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
            </w:r>
          </w:p>
        </w:tc>
      </w:tr>
      <w:tr>
        <w:tc>
          <w:tcPr>
            <w:tcW w:type="dxa" w:w="20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1a1a2e"/>
                <w:sz w:val="20"/>
                <w:szCs w:val="20"/>
              </w:rPr>
              <w:t xml:space="preserve">Encadrant</w:t>
            </w:r>
          </w:p>
        </w:tc>
        <w:tc>
          <w:tcPr>
            <w:tcW w:type="dxa" w:w="5026"/>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M. Soler — Polytech Lyon</w:t>
            </w:r>
          </w:p>
        </w:tc>
        <w:tc>
          <w:tcPr>
            <w:tcW w:type="dxa" w:w="20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bCs/>
                <w:color w:val="1a1a2e"/>
                <w:sz w:val="20"/>
                <w:szCs w:val="20"/>
              </w:rPr>
              <w:t xml:space="preserve">Dataset</w:t>
            </w:r>
          </w:p>
        </w:tc>
        <w:tc>
          <w:tcPr>
            <w:tcW w:type="dxa" w:w="5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freMTPL2 — 678 013 polices d'assurance automobile françaises</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
            </w:r>
          </w:p>
        </w:tc>
      </w:tr>
      <w:tr>
        <w:tc>
          <w:tcPr>
            <w:tcW w:type="dxa" w:w="20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1a1a2e"/>
                <w:sz w:val="20"/>
                <w:szCs w:val="20"/>
              </w:rPr>
              <w:t xml:space="preserve">Année</w:t>
            </w:r>
          </w:p>
        </w:tc>
        <w:tc>
          <w:tcPr>
            <w:tcW w:type="dxa" w:w="5026"/>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2025–2026</w:t>
            </w:r>
          </w:p>
        </w:tc>
        <w:tc>
          <w:tcPr>
            <w:tcW w:type="dxa" w:w="20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
            </w:r>
          </w:p>
        </w:tc>
      </w:tr>
    </w:tbl>
    <w:p>
      <w:r>
        <w:br w:type="page"/>
      </w:r>
    </w:p>
    <w:p>
      <w:pPr>
        <w:pBdr>
          <w:bottom w:val="single" w:color="c9a227" w:sz="8" w:space="6"/>
        </w:pBdr>
        <w:spacing w:after="160" w:before="480"/>
      </w:pPr>
      <w:r>
        <w:rPr>
          <w:rFonts w:ascii="Arial" w:cs="Arial" w:eastAsia="Arial" w:hAnsi="Arial"/>
          <w:b/>
          <w:bCs/>
          <w:color w:val="1a1a2e"/>
          <w:sz w:val="40"/>
          <w:szCs w:val="40"/>
        </w:rPr>
        <w:t xml:space="preserve">1. Introduction et positionnement dans le projet</w:t>
      </w:r>
    </w:p>
    <w:p>
      <w:pPr>
        <w:spacing w:after="100" w:before="60"/>
      </w:pPr>
      <w:r>
        <w:rPr>
          <w:rFonts w:ascii="Arial" w:cs="Arial" w:eastAsia="Arial" w:hAnsi="Arial"/>
          <w:color w:val="222222"/>
          <w:sz w:val="21"/>
          <w:szCs w:val="21"/>
        </w:rPr>
        <w:t xml:space="preserve">Ce rapport constitue la troisième partie du projet de tarification IARD réalisé dans le cadre du MAM 4A à Polytech Lyon. Les deux premières parties couvrent respectivement l'exploration des données et la modélisation de la fréquence (Marion, GLM Poisson) et la modélisation de la sévérité (Mario, GLM Gamma).</w:t>
      </w:r>
    </w:p>
    <w:p>
      <w:pPr>
        <w:spacing w:after="0" w:before="80"/>
      </w:pPr>
      <w:r>
        <w:t xml:space="preserve"/>
      </w:r>
    </w:p>
    <w:p>
      <w:pPr>
        <w:spacing w:after="100" w:before="60"/>
      </w:pPr>
      <w:r>
        <w:rPr>
          <w:rFonts w:ascii="Arial" w:cs="Arial" w:eastAsia="Arial" w:hAnsi="Arial"/>
          <w:color w:val="222222"/>
          <w:sz w:val="21"/>
          <w:szCs w:val="21"/>
        </w:rPr>
        <w:t xml:space="preserve">La présente partie apporte trois contributions distinctes :</w:t>
      </w:r>
    </w:p>
    <w:p>
      <w:pPr>
        <w:spacing w:after="60" w:before="60"/>
        <w:ind w:left="400" w:hanging="280"/>
      </w:pPr>
      <w:r>
        <w:rPr>
          <w:rFonts w:ascii="Arial" w:cs="Arial" w:eastAsia="Arial" w:hAnsi="Arial"/>
          <w:b/>
          <w:bCs/>
          <w:color w:val="c9a227"/>
          <w:sz w:val="21"/>
          <w:szCs w:val="21"/>
        </w:rPr>
        <w:t xml:space="preserve">● </w:t>
      </w:r>
      <w:r>
        <w:rPr>
          <w:rFonts w:ascii="Arial" w:cs="Arial" w:eastAsia="Arial" w:hAnsi="Arial"/>
          <w:b/>
          <w:bCs/>
          <w:color w:val="1a1a2e"/>
          <w:sz w:val="21"/>
          <w:szCs w:val="21"/>
        </w:rPr>
        <w:t xml:space="preserve"> : </w:t>
      </w:r>
      <w:r>
        <w:rPr>
          <w:rFonts w:ascii="Arial" w:cs="Arial" w:eastAsia="Arial" w:hAnsi="Arial"/>
          <w:color w:val="222222"/>
          <w:sz w:val="21"/>
          <w:szCs w:val="21"/>
        </w:rPr>
        <w:t xml:space="preserve">évaluation de trois approches de modélisation (GLM Poisson × Gamma, GLM Tweedie, XGBoost) sur un jeu de test commun avec calcul du coefficient de Gini normalisé, RMSE et MAE.</w:t>
      </w:r>
    </w:p>
    <w:p>
      <w:pPr>
        <w:spacing w:after="60" w:before="60"/>
        <w:ind w:left="400" w:hanging="280"/>
      </w:pPr>
      <w:r>
        <w:rPr>
          <w:rFonts w:ascii="Arial" w:cs="Arial" w:eastAsia="Arial" w:hAnsi="Arial"/>
          <w:b/>
          <w:bCs/>
          <w:color w:val="c9a227"/>
          <w:sz w:val="21"/>
          <w:szCs w:val="21"/>
        </w:rPr>
        <w:t xml:space="preserve">● </w:t>
      </w:r>
      <w:r>
        <w:rPr>
          <w:rFonts w:ascii="Arial" w:cs="Arial" w:eastAsia="Arial" w:hAnsi="Arial"/>
          <w:b/>
          <w:bCs/>
          <w:color w:val="1a1a2e"/>
          <w:sz w:val="21"/>
          <w:szCs w:val="21"/>
        </w:rPr>
        <w:t xml:space="preserve"> : </w:t>
      </w:r>
      <w:r>
        <w:rPr>
          <w:rFonts w:ascii="Arial" w:cs="Arial" w:eastAsia="Arial" w:hAnsi="Arial"/>
          <w:color w:val="222222"/>
          <w:sz w:val="21"/>
          <w:szCs w:val="21"/>
        </w:rPr>
        <w:t xml:space="preserve">explicateur de la prime pure par grand modèle de langage, en double mode (grand public / actuaire).</w:t>
      </w:r>
    </w:p>
    <w:p>
      <w:pPr>
        <w:spacing w:after="60" w:before="60"/>
        <w:ind w:left="400" w:hanging="280"/>
      </w:pPr>
      <w:r>
        <w:rPr>
          <w:rFonts w:ascii="Arial" w:cs="Arial" w:eastAsia="Arial" w:hAnsi="Arial"/>
          <w:b/>
          <w:bCs/>
          <w:color w:val="c9a227"/>
          <w:sz w:val="21"/>
          <w:szCs w:val="21"/>
        </w:rPr>
        <w:t xml:space="preserve">● </w:t>
      </w:r>
      <w:r>
        <w:rPr>
          <w:rFonts w:ascii="Arial" w:cs="Arial" w:eastAsia="Arial" w:hAnsi="Arial"/>
          <w:b/>
          <w:bCs/>
          <w:color w:val="1a1a2e"/>
          <w:sz w:val="21"/>
          <w:szCs w:val="21"/>
        </w:rPr>
        <w:t xml:space="preserve"> : </w:t>
      </w:r>
      <w:r>
        <w:rPr>
          <w:rFonts w:ascii="Arial" w:cs="Arial" w:eastAsia="Arial" w:hAnsi="Arial"/>
          <w:color w:val="222222"/>
          <w:sz w:val="21"/>
          <w:szCs w:val="21"/>
        </w:rPr>
        <w:t xml:space="preserve">interface web interactive intégrant l'ensemble des composants du projet.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BF3FB" w:val="clear"/>
            <w:tcMar>
              <w:top w:type="dxa" w:w="120"/>
              <w:left w:type="dxa" w:w="180"/>
              <w:bottom w:type="dxa" w:w="120"/>
              <w:right w:type="dxa" w:w="180"/>
            </w:tcMar>
          </w:tcPr>
          <w:p>
            <w:r>
              <w:rPr>
                <w:rFonts w:ascii="Arial" w:cs="Arial" w:eastAsia="Arial" w:hAnsi="Arial"/>
                <w:color w:val="1a4a7a"/>
                <w:sz w:val="20"/>
                <w:szCs w:val="20"/>
              </w:rPr>
              <w:t xml:space="preserve">Les modèles GLM Poisson (Marion) et GLM Gamma (Mario) sont chargés directement depuis les fichiers .pkl produits par les notebooks 01 et 02. Aucun ré-entraînement n'est effectué dans cette partie — les prédictions s'appuient exclusivement sur les modèles de référence.</w:t>
            </w:r>
          </w:p>
        </w:tc>
      </w:tr>
    </w:tbl>
    <w:p>
      <w:pPr>
        <w:spacing w:after="0" w:before="80"/>
      </w:pPr>
      <w:r>
        <w:t xml:space="preserve"/>
      </w:r>
    </w:p>
    <w:p>
      <w:r>
        <w:br w:type="page"/>
      </w:r>
    </w:p>
    <w:p>
      <w:pPr>
        <w:pBdr>
          <w:bottom w:val="single" w:color="c9a227" w:sz="8" w:space="6"/>
        </w:pBdr>
        <w:spacing w:after="160" w:before="480"/>
      </w:pPr>
      <w:r>
        <w:rPr>
          <w:rFonts w:ascii="Arial" w:cs="Arial" w:eastAsia="Arial" w:hAnsi="Arial"/>
          <w:b/>
          <w:bCs/>
          <w:color w:val="1a1a2e"/>
          <w:sz w:val="40"/>
          <w:szCs w:val="40"/>
        </w:rPr>
        <w:t xml:space="preserve">2. Comparaison des modèles de tarification</w:t>
      </w:r>
    </w:p>
    <w:p>
      <w:pPr>
        <w:spacing w:after="120" w:before="320"/>
      </w:pPr>
      <w:r>
        <w:rPr>
          <w:rFonts w:ascii="Arial" w:cs="Arial" w:eastAsia="Arial" w:hAnsi="Arial"/>
          <w:color w:val="c9a227"/>
          <w:sz w:val="28"/>
          <w:szCs w:val="28"/>
        </w:rPr>
        <w:t xml:space="preserve">▌ </w:t>
      </w:r>
      <w:r>
        <w:rPr>
          <w:rFonts w:ascii="Arial" w:cs="Arial" w:eastAsia="Arial" w:hAnsi="Arial"/>
          <w:b/>
          <w:bCs/>
          <w:color w:val="1a1a2e"/>
          <w:sz w:val="28"/>
          <w:szCs w:val="28"/>
        </w:rPr>
        <w:t xml:space="preserve">2.1 Rappel du cadre actuariel</w:t>
      </w:r>
    </w:p>
    <w:p>
      <w:pPr>
        <w:spacing w:after="100" w:before="60"/>
      </w:pPr>
      <w:r>
        <w:rPr>
          <w:rFonts w:ascii="Arial" w:cs="Arial" w:eastAsia="Arial" w:hAnsi="Arial"/>
          <w:color w:val="222222"/>
          <w:sz w:val="21"/>
          <w:szCs w:val="21"/>
        </w:rPr>
        <w:t xml:space="preserve">La prime pure est le coût moyen annuel espéré pour l'assureur, hors chargements. Elle se décompose selon la formule fondamentale de la tarification non-vie :</w:t>
      </w:r>
    </w:p>
    <w:p>
      <w:pPr>
        <w:pBdr>
          <w:left w:val="single" w:color="c9a227" w:sz="12" w:space="8"/>
        </w:pBdr>
        <w:shd w:fill="F0F4F8" w:val="clear"/>
        <w:spacing w:after="180" w:before="180"/>
        <w:jc w:val="center"/>
      </w:pPr>
      <w:r>
        <w:rPr>
          <w:rFonts w:ascii="Courier New" w:cs="Courier New" w:eastAsia="Courier New" w:hAnsi="Courier New"/>
          <w:b/>
          <w:bCs/>
          <w:color w:val="1a1a2e"/>
          <w:sz w:val="22"/>
          <w:szCs w:val="22"/>
        </w:rPr>
        <w:t xml:space="preserve">Prime Pure  =  E[N]  ×  E[C | N &gt; 0]  =  λ̂  ×  μ̂</w:t>
      </w:r>
    </w:p>
    <w:p>
      <w:pPr>
        <w:spacing w:after="100" w:before="60"/>
      </w:pPr>
      <w:r>
        <w:rPr>
          <w:rFonts w:ascii="Arial" w:cs="Arial" w:eastAsia="Arial" w:hAnsi="Arial"/>
          <w:color w:val="222222"/>
          <w:sz w:val="21"/>
          <w:szCs w:val="21"/>
        </w:rPr>
        <w:t xml:space="preserve">où </w:t>
      </w:r>
      <w:r>
        <w:rPr>
          <w:rFonts w:ascii="Arial" w:cs="Arial" w:eastAsia="Arial" w:hAnsi="Arial"/>
          <w:b/>
          <w:bCs/>
          <w:color w:val="222222"/>
          <w:sz w:val="21"/>
          <w:szCs w:val="21"/>
        </w:rPr>
        <w:t xml:space="preserve">λ̂</w:t>
      </w:r>
      <w:r>
        <w:rPr>
          <w:rFonts w:ascii="Arial" w:cs="Arial" w:eastAsia="Arial" w:hAnsi="Arial"/>
          <w:color w:val="222222"/>
          <w:sz w:val="21"/>
          <w:szCs w:val="21"/>
        </w:rPr>
        <w:t xml:space="preserve"> est la fréquence de sinistres prédite (nombre de sinistres par unité d'exposition) et </w:t>
      </w:r>
      <w:r>
        <w:rPr>
          <w:rFonts w:ascii="Arial" w:cs="Arial" w:eastAsia="Arial" w:hAnsi="Arial"/>
          <w:b/>
          <w:bCs/>
          <w:color w:val="222222"/>
          <w:sz w:val="21"/>
          <w:szCs w:val="21"/>
        </w:rPr>
        <w:t xml:space="preserve">μ̂</w:t>
      </w:r>
      <w:r>
        <w:rPr>
          <w:rFonts w:ascii="Arial" w:cs="Arial" w:eastAsia="Arial" w:hAnsi="Arial"/>
          <w:color w:val="222222"/>
          <w:sz w:val="21"/>
          <w:szCs w:val="21"/>
        </w:rPr>
        <w:t xml:space="preserve"> le coût moyen conditionnel par sinistre. Trois approches sont comparées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26"/>
        <w:gridCol w:w="1700"/>
        <w:gridCol w:w="1700"/>
      </w:tblGrid>
      <w:tr>
        <w:tc>
          <w:tcPr>
            <w:tcW w:type="dxa" w:w="24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Modèle</w:t>
            </w:r>
          </w:p>
        </w:tc>
        <w:tc>
          <w:tcPr>
            <w:tcW w:type="dxa" w:w="3226"/>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Approche</w:t>
            </w:r>
          </w:p>
        </w:tc>
        <w:tc>
          <w:tcPr>
            <w:tcW w:type="dxa" w:w="17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Bibliothèque</w:t>
            </w:r>
          </w:p>
        </w:tc>
        <w:tc>
          <w:tcPr>
            <w:tcW w:type="dxa" w:w="17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Paramètres</w:t>
            </w:r>
          </w:p>
        </w:tc>
      </w:tr>
      <w:tr>
        <w:tc>
          <w:tcPr>
            <w:tcW w:type="dxa" w:w="2400"/>
            <w:tcBorders>
              <w:top w:val="single" w:color="DDDDDD" w:sz="1"/>
              <w:left w:val="single" w:color="DDDDDD" w:sz="1"/>
              <w:bottom w:val="single" w:color="DDDDDD" w:sz="1"/>
              <w:right w:val="single" w:color="DDDDDD" w:sz="1"/>
            </w:tcBorders>
            <w:shd w:fill="EBF3FB" w:val="clear"/>
            <w:tcMar>
              <w:top w:type="dxa" w:w="90"/>
              <w:left w:type="dxa" w:w="140"/>
              <w:bottom w:type="dxa" w:w="90"/>
              <w:right w:type="dxa" w:w="140"/>
            </w:tcMar>
          </w:tcPr>
          <w:p>
            <w:pPr>
              <w:jc w:val="left"/>
            </w:pPr>
            <w:r>
              <w:rPr>
                <w:rFonts w:ascii="Arial" w:cs="Arial" w:eastAsia="Arial" w:hAnsi="Arial"/>
                <w:b/>
                <w:bCs/>
                <w:color w:val="1a1a2e"/>
                <w:sz w:val="20"/>
                <w:szCs w:val="20"/>
              </w:rPr>
              <w:t xml:space="preserve">GLM Poisson × Gamma</w:t>
            </w:r>
          </w:p>
        </w:tc>
        <w:tc>
          <w:tcPr>
            <w:tcW w:type="dxa" w:w="3226"/>
            <w:tcBorders>
              <w:top w:val="single" w:color="DDDDDD" w:sz="1"/>
              <w:left w:val="single" w:color="DDDDDD" w:sz="1"/>
              <w:bottom w:val="single" w:color="DDDDDD" w:sz="1"/>
              <w:right w:val="single" w:color="DDDDDD" w:sz="1"/>
            </w:tcBorders>
            <w:shd w:fill="EBF3FB"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Décomposition fréquence × sévérité</w:t>
            </w:r>
          </w:p>
        </w:tc>
        <w:tc>
          <w:tcPr>
            <w:tcW w:type="dxa" w:w="1700"/>
            <w:tcBorders>
              <w:top w:val="single" w:color="DDDDDD" w:sz="1"/>
              <w:left w:val="single" w:color="DDDDDD" w:sz="1"/>
              <w:bottom w:val="single" w:color="DDDDDD" w:sz="1"/>
              <w:right w:val="single" w:color="DDDDDD" w:sz="1"/>
            </w:tcBorders>
            <w:shd w:fill="EBF3FB"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statsmodels</w:t>
            </w:r>
          </w:p>
        </w:tc>
        <w:tc>
          <w:tcPr>
            <w:tcW w:type="dxa" w:w="1700"/>
            <w:tcBorders>
              <w:top w:val="single" w:color="DDDDDD" w:sz="1"/>
              <w:left w:val="single" w:color="DDDDDD" w:sz="1"/>
              <w:bottom w:val="single" w:color="DDDDDD" w:sz="1"/>
              <w:right w:val="single" w:color="DDDDDD" w:sz="1"/>
            </w:tcBorders>
            <w:shd w:fill="EBF3FB" w:val="clear"/>
            <w:tcMar>
              <w:top w:type="dxa" w:w="90"/>
              <w:left w:type="dxa" w:w="140"/>
              <w:bottom w:type="dxa" w:w="90"/>
              <w:right w:type="dxa" w:w="140"/>
            </w:tcMar>
          </w:tcPr>
          <w:p>
            <w:pPr>
              <w:jc w:val="center"/>
            </w:pPr>
            <w:r>
              <w:rPr>
                <w:rFonts w:ascii="Arial" w:cs="Arial" w:eastAsia="Arial" w:hAnsi="Arial"/>
                <w:b w:val="false"/>
                <w:bCs w:val="false"/>
                <w:color w:val="1a1a2e"/>
                <w:sz w:val="20"/>
                <w:szCs w:val="20"/>
              </w:rPr>
              <w:t xml:space="preserve">30 + 25</w:t>
            </w:r>
          </w:p>
        </w:tc>
      </w:tr>
      <w:tr>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bCs/>
                <w:color w:val="1a1a2e"/>
                <w:sz w:val="20"/>
                <w:szCs w:val="20"/>
              </w:rPr>
              <w:t xml:space="preserve">GLM Tweedie</w:t>
            </w:r>
          </w:p>
        </w:tc>
        <w:tc>
          <w:tcPr>
            <w:tcW w:type="dxa" w:w="32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Prime pure directe, loi compound Poisson-Gamma (p = 1.5)</w:t>
            </w:r>
          </w:p>
        </w:tc>
        <w:tc>
          <w:tcPr>
            <w:tcW w:type="dxa" w:w="17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scikit-learn</w:t>
            </w:r>
          </w:p>
        </w:tc>
        <w:tc>
          <w:tcPr>
            <w:tcW w:type="dxa" w:w="17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Pipeline OHE + TweedieRegressor</w:t>
            </w:r>
          </w:p>
        </w:tc>
      </w:tr>
      <w:tr>
        <w:tc>
          <w:tcPr>
            <w:tcW w:type="dxa" w:w="2400"/>
            <w:tcBorders>
              <w:top w:val="single" w:color="DDDDDD" w:sz="1"/>
              <w:left w:val="single" w:color="DDDDDD" w:sz="1"/>
              <w:bottom w:val="single" w:color="DDDDDD" w:sz="1"/>
              <w:right w:val="single" w:color="DDDDDD" w:sz="1"/>
            </w:tcBorders>
            <w:shd w:fill="EBF3FB" w:val="clear"/>
            <w:tcMar>
              <w:top w:type="dxa" w:w="90"/>
              <w:left w:type="dxa" w:w="140"/>
              <w:bottom w:type="dxa" w:w="90"/>
              <w:right w:type="dxa" w:w="140"/>
            </w:tcMar>
          </w:tcPr>
          <w:p>
            <w:pPr>
              <w:jc w:val="left"/>
            </w:pPr>
            <w:r>
              <w:rPr>
                <w:rFonts w:ascii="Arial" w:cs="Arial" w:eastAsia="Arial" w:hAnsi="Arial"/>
                <w:b/>
                <w:bCs/>
                <w:color w:val="1a1a2e"/>
                <w:sz w:val="20"/>
                <w:szCs w:val="20"/>
              </w:rPr>
              <w:t xml:space="preserve">XGBoost</w:t>
            </w:r>
          </w:p>
        </w:tc>
        <w:tc>
          <w:tcPr>
            <w:tcW w:type="dxa" w:w="3226"/>
            <w:tcBorders>
              <w:top w:val="single" w:color="DDDDDD" w:sz="1"/>
              <w:left w:val="single" w:color="DDDDDD" w:sz="1"/>
              <w:bottom w:val="single" w:color="DDDDDD" w:sz="1"/>
              <w:right w:val="single" w:color="DDDDDD" w:sz="1"/>
            </w:tcBorders>
            <w:shd w:fill="EBF3FB"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Gradient boosting, objectif reg:tweedie</w:t>
            </w:r>
          </w:p>
        </w:tc>
        <w:tc>
          <w:tcPr>
            <w:tcW w:type="dxa" w:w="1700"/>
            <w:tcBorders>
              <w:top w:val="single" w:color="DDDDDD" w:sz="1"/>
              <w:left w:val="single" w:color="DDDDDD" w:sz="1"/>
              <w:bottom w:val="single" w:color="DDDDDD" w:sz="1"/>
              <w:right w:val="single" w:color="DDDDDD" w:sz="1"/>
            </w:tcBorders>
            <w:shd w:fill="EBF3FB"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xgboost 2.x</w:t>
            </w:r>
          </w:p>
        </w:tc>
        <w:tc>
          <w:tcPr>
            <w:tcW w:type="dxa" w:w="1700"/>
            <w:tcBorders>
              <w:top w:val="single" w:color="DDDDDD" w:sz="1"/>
              <w:left w:val="single" w:color="DDDDDD" w:sz="1"/>
              <w:bottom w:val="single" w:color="DDDDDD" w:sz="1"/>
              <w:right w:val="single" w:color="DDDDDD" w:sz="1"/>
            </w:tcBorders>
            <w:shd w:fill="EBF3FB"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300 arbres, lr=0.05, depth=5</w:t>
            </w:r>
          </w:p>
        </w:tc>
      </w:tr>
    </w:tbl>
    <w:p>
      <w:pPr>
        <w:spacing w:after="0" w:before="160"/>
      </w:pPr>
      <w:r>
        <w:t xml:space="preserve"/>
      </w:r>
    </w:p>
    <w:p>
      <w:pPr>
        <w:spacing w:after="120" w:before="320"/>
      </w:pPr>
      <w:r>
        <w:rPr>
          <w:rFonts w:ascii="Arial" w:cs="Arial" w:eastAsia="Arial" w:hAnsi="Arial"/>
          <w:color w:val="c9a227"/>
          <w:sz w:val="28"/>
          <w:szCs w:val="28"/>
        </w:rPr>
        <w:t xml:space="preserve">▌ </w:t>
      </w:r>
      <w:r>
        <w:rPr>
          <w:rFonts w:ascii="Arial" w:cs="Arial" w:eastAsia="Arial" w:hAnsi="Arial"/>
          <w:b/>
          <w:bCs/>
          <w:color w:val="1a1a2e"/>
          <w:sz w:val="28"/>
          <w:szCs w:val="28"/>
        </w:rPr>
        <w:t xml:space="preserve">2.2 Spécifications des modèles de référence</w:t>
      </w:r>
    </w:p>
    <w:p>
      <w:pPr>
        <w:spacing w:after="80" w:before="200"/>
      </w:pPr>
      <w:r>
        <w:rPr>
          <w:rFonts w:ascii="Arial" w:cs="Arial" w:eastAsia="Arial" w:hAnsi="Arial"/>
          <w:b/>
          <w:bCs/>
          <w:color w:val="2d6a9f"/>
          <w:sz w:val="24"/>
          <w:szCs w:val="24"/>
        </w:rPr>
        <w:t xml:space="preserve">GLM Poisson — Marion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1a1a2e"/>
                <w:sz w:val="20"/>
                <w:szCs w:val="20"/>
              </w:rPr>
              <w:t xml:space="preserve">Formule</w:t>
            </w:r>
          </w:p>
        </w:tc>
        <w:tc>
          <w:tcPr>
            <w:tcW w:type="dxa" w:w="6026"/>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ClaimNb ~ log_bonus_malus × tranche_age + VehAge + VehPower + Region_v3 + VehGas + Density</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bCs/>
                <w:color w:val="1a1a2e"/>
                <w:sz w:val="20"/>
                <w:szCs w:val="20"/>
              </w:rPr>
              <w:t xml:space="preserve">Offset</w:t>
            </w:r>
          </w:p>
        </w:tc>
        <w:tc>
          <w:tcPr>
            <w:tcW w:type="dxa" w:w="6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log(Exposure)</w:t>
            </w:r>
          </w:p>
        </w:tc>
      </w:tr>
      <w:tr>
        <w:tc>
          <w:tcPr>
            <w:tcW w:type="dxa" w:w="30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1a1a2e"/>
                <w:sz w:val="20"/>
                <w:szCs w:val="20"/>
              </w:rPr>
              <w:t xml:space="preserve">Lien</w:t>
            </w:r>
          </w:p>
        </w:tc>
        <w:tc>
          <w:tcPr>
            <w:tcW w:type="dxa" w:w="6026"/>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log  |  Distribution : Poisson</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bCs/>
                <w:color w:val="1a1a2e"/>
                <w:sz w:val="20"/>
                <w:szCs w:val="20"/>
              </w:rPr>
              <w:t xml:space="preserve">AIC</w:t>
            </w:r>
          </w:p>
        </w:tc>
        <w:tc>
          <w:tcPr>
            <w:tcW w:type="dxa" w:w="6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243 180.25</w:t>
            </w:r>
          </w:p>
        </w:tc>
      </w:tr>
      <w:tr>
        <w:tc>
          <w:tcPr>
            <w:tcW w:type="dxa" w:w="30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1a1a2e"/>
                <w:sz w:val="20"/>
                <w:szCs w:val="20"/>
              </w:rPr>
              <w:t xml:space="preserve">Déviance</w:t>
            </w:r>
          </w:p>
        </w:tc>
        <w:tc>
          <w:tcPr>
            <w:tcW w:type="dxa" w:w="6026"/>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184 232.64</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bCs/>
                <w:color w:val="1a1a2e"/>
                <w:sz w:val="20"/>
                <w:szCs w:val="20"/>
              </w:rPr>
              <w:t xml:space="preserve">Pseudo R²</w:t>
            </w:r>
          </w:p>
        </w:tc>
        <w:tc>
          <w:tcPr>
            <w:tcW w:type="dxa" w:w="6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0.0110</w:t>
            </w:r>
          </w:p>
        </w:tc>
      </w:tr>
      <w:tr>
        <w:tc>
          <w:tcPr>
            <w:tcW w:type="dxa" w:w="30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1a1a2e"/>
                <w:sz w:val="20"/>
                <w:szCs w:val="20"/>
              </w:rPr>
              <w:t xml:space="preserve">Paramètres</w:t>
            </w:r>
          </w:p>
        </w:tc>
        <w:tc>
          <w:tcPr>
            <w:tcW w:type="dxa" w:w="6026"/>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30  |  Convergé : Oui</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bCs/>
                <w:color w:val="1a1a2e"/>
                <w:sz w:val="20"/>
                <w:szCs w:val="20"/>
              </w:rPr>
              <w:t xml:space="preserve">Variable clé</w:t>
            </w:r>
          </w:p>
        </w:tc>
        <w:tc>
          <w:tcPr>
            <w:tcW w:type="dxa" w:w="6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log_bonus_malus × tranche_age — interaction capturant l'effet non-linéaire du BM selon l'âge</w:t>
            </w:r>
          </w:p>
        </w:tc>
      </w:tr>
    </w:tbl>
    <w:p>
      <w:pPr>
        <w:spacing w:after="0" w:before="80"/>
      </w:pPr>
      <w:r>
        <w:t xml:space="preserve"/>
      </w:r>
    </w:p>
    <w:p>
      <w:pPr>
        <w:spacing w:after="80" w:before="200"/>
      </w:pPr>
      <w:r>
        <w:rPr>
          <w:rFonts w:ascii="Arial" w:cs="Arial" w:eastAsia="Arial" w:hAnsi="Arial"/>
          <w:b/>
          <w:bCs/>
          <w:color w:val="2d6a9f"/>
          <w:sz w:val="24"/>
          <w:szCs w:val="24"/>
        </w:rPr>
        <w:t xml:space="preserve">GLM Gamma — Mario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1a1a2e"/>
                <w:sz w:val="20"/>
                <w:szCs w:val="20"/>
              </w:rPr>
              <w:t xml:space="preserve">Formule</w:t>
            </w:r>
          </w:p>
        </w:tc>
        <w:tc>
          <w:tcPr>
            <w:tcW w:type="dxa" w:w="6026"/>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CoutMoyen ~ BonusMalus + VehAge + DrivAge + C(Region)</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bCs/>
                <w:color w:val="1a1a2e"/>
                <w:sz w:val="20"/>
                <w:szCs w:val="20"/>
              </w:rPr>
              <w:t xml:space="preserve">Lien</w:t>
            </w:r>
          </w:p>
        </w:tc>
        <w:tc>
          <w:tcPr>
            <w:tcW w:type="dxa" w:w="6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log  |  Distribution : Gamma</w:t>
            </w:r>
          </w:p>
        </w:tc>
      </w:tr>
      <w:tr>
        <w:tc>
          <w:tcPr>
            <w:tcW w:type="dxa" w:w="30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1a1a2e"/>
                <w:sz w:val="20"/>
                <w:szCs w:val="20"/>
              </w:rPr>
              <w:t xml:space="preserve">AIC</w:t>
            </w:r>
          </w:p>
        </w:tc>
        <w:tc>
          <w:tcPr>
            <w:tcW w:type="dxa" w:w="6026"/>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252 228.60</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bCs/>
                <w:color w:val="1a1a2e"/>
                <w:sz w:val="20"/>
                <w:szCs w:val="20"/>
              </w:rPr>
              <w:t xml:space="preserve">Déviance</w:t>
            </w:r>
          </w:p>
        </w:tc>
        <w:tc>
          <w:tcPr>
            <w:tcW w:type="dxa" w:w="6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25 824.86</w:t>
            </w:r>
          </w:p>
        </w:tc>
      </w:tr>
      <w:tr>
        <w:tc>
          <w:tcPr>
            <w:tcW w:type="dxa" w:w="30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1a1a2e"/>
                <w:sz w:val="20"/>
                <w:szCs w:val="20"/>
              </w:rPr>
              <w:t xml:space="preserve">Pseudo R²</w:t>
            </w:r>
          </w:p>
        </w:tc>
        <w:tc>
          <w:tcPr>
            <w:tcW w:type="dxa" w:w="6026"/>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0.0036</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bCs/>
                <w:color w:val="1a1a2e"/>
                <w:sz w:val="20"/>
                <w:szCs w:val="20"/>
              </w:rPr>
              <w:t xml:space="preserve">Paramètres</w:t>
            </w:r>
          </w:p>
        </w:tc>
        <w:tc>
          <w:tcPr>
            <w:tcW w:type="dxa" w:w="6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25  |  Convergé : Oui</w:t>
            </w:r>
          </w:p>
        </w:tc>
      </w:tr>
      <w:tr>
        <w:tc>
          <w:tcPr>
            <w:tcW w:type="dxa" w:w="30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1a1a2e"/>
                <w:sz w:val="20"/>
                <w:szCs w:val="20"/>
              </w:rPr>
              <w:t xml:space="preserve">Cible</w:t>
            </w:r>
          </w:p>
        </w:tc>
        <w:tc>
          <w:tcPr>
            <w:tcW w:type="dxa" w:w="6026"/>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CoutMoyen = ClaimAmount / ClaimNb — coût moyen par sinistre sur polices sinistrees uniquement</w:t>
            </w:r>
          </w:p>
        </w:tc>
      </w:tr>
    </w:tbl>
    <w:p>
      <w:pPr>
        <w:spacing w:after="0" w:before="160"/>
      </w:pPr>
      <w:r>
        <w:t xml:space="preserve"/>
      </w:r>
    </w:p>
    <w:p>
      <w:pPr>
        <w:spacing w:after="120" w:before="320"/>
      </w:pPr>
      <w:r>
        <w:rPr>
          <w:rFonts w:ascii="Arial" w:cs="Arial" w:eastAsia="Arial" w:hAnsi="Arial"/>
          <w:color w:val="c9a227"/>
          <w:sz w:val="28"/>
          <w:szCs w:val="28"/>
        </w:rPr>
        <w:t xml:space="preserve">▌ </w:t>
      </w:r>
      <w:r>
        <w:rPr>
          <w:rFonts w:ascii="Arial" w:cs="Arial" w:eastAsia="Arial" w:hAnsi="Arial"/>
          <w:b/>
          <w:bCs/>
          <w:color w:val="1a1a2e"/>
          <w:sz w:val="28"/>
          <w:szCs w:val="28"/>
        </w:rPr>
        <w:t xml:space="preserve">2.3 Préparation des données</w:t>
      </w:r>
    </w:p>
    <w:p>
      <w:pPr>
        <w:spacing w:after="100" w:before="60"/>
      </w:pPr>
      <w:r>
        <w:rPr>
          <w:rFonts w:ascii="Arial" w:cs="Arial" w:eastAsia="Arial" w:hAnsi="Arial"/>
          <w:color w:val="222222"/>
          <w:sz w:val="21"/>
          <w:szCs w:val="21"/>
        </w:rPr>
        <w:t xml:space="preserve">Le split train/test (80/20) est stratifié sur la présence de sinistre (has_claim) pour préserver la proportion de zéros (~93.6%) dans les deux sous-ensembles. La cible est la prime pure annualisée, écrêtée au 99,9e percentile pour limiter l'influence des sinistres extrêmes.</w:t>
      </w:r>
    </w:p>
    <w:p>
      <w:pPr>
        <w:spacing w:after="0" w:before="80"/>
      </w:pPr>
      <w:r>
        <w:t xml:space="preserve"/>
      </w:r>
    </w:p>
    <w:p>
      <w:pPr>
        <w:spacing w:after="100" w:before="60"/>
      </w:pPr>
      <w:r>
        <w:rPr>
          <w:rFonts w:ascii="Arial" w:cs="Arial" w:eastAsia="Arial" w:hAnsi="Arial"/>
          <w:color w:val="222222"/>
          <w:sz w:val="21"/>
          <w:szCs w:val="21"/>
        </w:rPr>
        <w:t xml:space="preserve">Le préprocessing appliqué pour les prédictions du GLM Poisson × Gamma est strictement identique à celui des notebooks de Marion et Mario :</w:t>
      </w:r>
    </w:p>
    <w:p>
      <w:pPr>
        <w:spacing w:after="60" w:before="60"/>
        <w:ind w:left="400" w:hanging="280"/>
      </w:pPr>
      <w:r>
        <w:rPr>
          <w:rFonts w:ascii="Arial" w:cs="Arial" w:eastAsia="Arial" w:hAnsi="Arial"/>
          <w:b/>
          <w:bCs/>
          <w:color w:val="c9a227"/>
          <w:sz w:val="21"/>
          <w:szCs w:val="21"/>
        </w:rPr>
        <w:t xml:space="preserve">● </w:t>
      </w:r>
      <w:r>
        <w:rPr>
          <w:rFonts w:ascii="Arial" w:cs="Arial" w:eastAsia="Arial" w:hAnsi="Arial"/>
          <w:color w:val="222222"/>
          <w:sz w:val="21"/>
          <w:szCs w:val="21"/>
        </w:rPr>
        <w:t xml:space="preserve">Nettoyage des guillemets dans VehGas, Area, VehBrand, Region</w:t>
      </w:r>
    </w:p>
    <w:p>
      <w:pPr>
        <w:spacing w:after="60" w:before="60"/>
        <w:ind w:left="400" w:hanging="280"/>
      </w:pPr>
      <w:r>
        <w:rPr>
          <w:rFonts w:ascii="Arial" w:cs="Arial" w:eastAsia="Arial" w:hAnsi="Arial"/>
          <w:b/>
          <w:bCs/>
          <w:color w:val="c9a227"/>
          <w:sz w:val="21"/>
          <w:szCs w:val="21"/>
        </w:rPr>
        <w:t xml:space="preserve">● </w:t>
      </w:r>
      <w:r>
        <w:rPr>
          <w:rFonts w:ascii="Arial" w:cs="Arial" w:eastAsia="Arial" w:hAnsi="Arial"/>
          <w:color w:val="222222"/>
          <w:sz w:val="21"/>
          <w:szCs w:val="21"/>
        </w:rPr>
        <w:t xml:space="preserve">Régions non significatives → 'Autre' : R21, R22, R23, R24, R25, R26, R42, R43</w:t>
      </w:r>
    </w:p>
    <w:p>
      <w:pPr>
        <w:spacing w:after="60" w:before="60"/>
        <w:ind w:left="400" w:hanging="280"/>
      </w:pPr>
      <w:r>
        <w:rPr>
          <w:rFonts w:ascii="Arial" w:cs="Arial" w:eastAsia="Arial" w:hAnsi="Arial"/>
          <w:b/>
          <w:bCs/>
          <w:color w:val="c9a227"/>
          <w:sz w:val="21"/>
          <w:szCs w:val="21"/>
        </w:rPr>
        <w:t xml:space="preserve">● </w:t>
      </w:r>
      <w:r>
        <w:rPr>
          <w:rFonts w:ascii="Arial" w:cs="Arial" w:eastAsia="Arial" w:hAnsi="Arial"/>
          <w:color w:val="222222"/>
          <w:sz w:val="21"/>
          <w:szCs w:val="21"/>
        </w:rPr>
        <w:t xml:space="preserve">Transformation : log_bonus_malus = log(BonusMalus)</w:t>
      </w:r>
    </w:p>
    <w:p>
      <w:pPr>
        <w:spacing w:after="60" w:before="60"/>
        <w:ind w:left="400" w:hanging="280"/>
      </w:pPr>
      <w:r>
        <w:rPr>
          <w:rFonts w:ascii="Arial" w:cs="Arial" w:eastAsia="Arial" w:hAnsi="Arial"/>
          <w:b/>
          <w:bCs/>
          <w:color w:val="c9a227"/>
          <w:sz w:val="21"/>
          <w:szCs w:val="21"/>
        </w:rPr>
        <w:t xml:space="preserve">● </w:t>
      </w:r>
      <w:r>
        <w:rPr>
          <w:rFonts w:ascii="Arial" w:cs="Arial" w:eastAsia="Arial" w:hAnsi="Arial"/>
          <w:color w:val="222222"/>
          <w:sz w:val="21"/>
          <w:szCs w:val="21"/>
        </w:rPr>
        <w:t xml:space="preserve">Discrétisation : tranche_age avec bins [17, 25, 35, 45, 55, 65, 100]</w:t>
      </w:r>
    </w:p>
    <w:p>
      <w:pPr>
        <w:spacing w:after="60" w:before="60"/>
        <w:ind w:left="400" w:hanging="280"/>
      </w:pPr>
      <w:r>
        <w:rPr>
          <w:rFonts w:ascii="Arial" w:cs="Arial" w:eastAsia="Arial" w:hAnsi="Arial"/>
          <w:b/>
          <w:bCs/>
          <w:color w:val="c9a227"/>
          <w:sz w:val="21"/>
          <w:szCs w:val="21"/>
        </w:rPr>
        <w:t xml:space="preserve">● </w:t>
      </w:r>
      <w:r>
        <w:rPr>
          <w:rFonts w:ascii="Arial" w:cs="Arial" w:eastAsia="Arial" w:hAnsi="Arial"/>
          <w:color w:val="222222"/>
          <w:sz w:val="21"/>
          <w:szCs w:val="21"/>
        </w:rPr>
        <w:t xml:space="preserve">Offset : log_exposure = log(Exposure)</w:t>
      </w:r>
    </w:p>
    <w:p>
      <w:pPr>
        <w:spacing w:after="0" w:before="160"/>
      </w:pPr>
      <w:r>
        <w:t xml:space="preserve"/>
      </w:r>
    </w:p>
    <w:p>
      <w:pPr>
        <w:spacing w:after="120" w:before="320"/>
      </w:pPr>
      <w:r>
        <w:rPr>
          <w:rFonts w:ascii="Arial" w:cs="Arial" w:eastAsia="Arial" w:hAnsi="Arial"/>
          <w:color w:val="c9a227"/>
          <w:sz w:val="28"/>
          <w:szCs w:val="28"/>
        </w:rPr>
        <w:t xml:space="preserve">▌ </w:t>
      </w:r>
      <w:r>
        <w:rPr>
          <w:rFonts w:ascii="Arial" w:cs="Arial" w:eastAsia="Arial" w:hAnsi="Arial"/>
          <w:b/>
          <w:bCs/>
          <w:color w:val="1a1a2e"/>
          <w:sz w:val="28"/>
          <w:szCs w:val="28"/>
        </w:rPr>
        <w:t xml:space="preserve">2.4 Métriques d'évaluation</w:t>
      </w:r>
    </w:p>
    <w:p>
      <w:pPr>
        <w:spacing w:after="80" w:before="200"/>
      </w:pPr>
      <w:r>
        <w:rPr>
          <w:rFonts w:ascii="Arial" w:cs="Arial" w:eastAsia="Arial" w:hAnsi="Arial"/>
          <w:b/>
          <w:bCs/>
          <w:color w:val="2d6a9f"/>
          <w:sz w:val="24"/>
          <w:szCs w:val="24"/>
        </w:rPr>
        <w:t xml:space="preserve">Coefficient de Gini normalisé</w:t>
      </w:r>
    </w:p>
    <w:p>
      <w:pPr>
        <w:spacing w:after="100" w:before="60"/>
      </w:pPr>
      <w:r>
        <w:rPr>
          <w:rFonts w:ascii="Arial" w:cs="Arial" w:eastAsia="Arial" w:hAnsi="Arial"/>
          <w:color w:val="222222"/>
          <w:sz w:val="21"/>
          <w:szCs w:val="21"/>
        </w:rPr>
        <w:t xml:space="preserve">Métrique centrale en tarification non-vie. Il mesure le pouvoir discriminant du modèle — sa capacité à attribuer des primes plus élevées aux polices qui sinistrent davantage.</w:t>
      </w:r>
    </w:p>
    <w:p>
      <w:pPr>
        <w:pBdr>
          <w:left w:val="single" w:color="c9a227" w:sz="12" w:space="8"/>
        </w:pBdr>
        <w:shd w:fill="F0F4F8" w:val="clear"/>
        <w:spacing w:after="180" w:before="180"/>
        <w:jc w:val="center"/>
      </w:pPr>
      <w:r>
        <w:rPr>
          <w:rFonts w:ascii="Courier New" w:cs="Courier New" w:eastAsia="Courier New" w:hAnsi="Courier New"/>
          <w:b/>
          <w:bCs/>
          <w:color w:val="1a1a2e"/>
          <w:sz w:val="22"/>
          <w:szCs w:val="22"/>
        </w:rPr>
        <w:t xml:space="preserve">G_normalisé = (2 × AUC(Lorenz) - 1) / G_parfait</w:t>
      </w:r>
    </w:p>
    <w:p>
      <w:pPr>
        <w:spacing w:after="100" w:before="60"/>
      </w:pPr>
      <w:r>
        <w:rPr>
          <w:rFonts w:ascii="Arial" w:cs="Arial" w:eastAsia="Arial" w:hAnsi="Arial"/>
          <w:color w:val="222222"/>
          <w:sz w:val="21"/>
          <w:szCs w:val="21"/>
        </w:rPr>
        <w:t xml:space="preserve">La courbe de Lorenz est construite en triant les polices par prime prédite croissante et en traçant la fraction cumulée des sinistres en fonction de la fraction cumulée des polices. Le calcul est pondéré par l'exposition. G = 0 : aucune discrimination — G = 1 : discrimination parfaite.</w:t>
      </w:r>
    </w:p>
    <w:p>
      <w:pPr>
        <w:spacing w:after="0" w:before="80"/>
      </w:pPr>
      <w:r>
        <w:t xml:space="preserve"/>
      </w:r>
    </w:p>
    <w:p>
      <w:pPr>
        <w:spacing w:after="80" w:before="200"/>
      </w:pPr>
      <w:r>
        <w:rPr>
          <w:rFonts w:ascii="Arial" w:cs="Arial" w:eastAsia="Arial" w:hAnsi="Arial"/>
          <w:b/>
          <w:bCs/>
          <w:color w:val="2d6a9f"/>
          <w:sz w:val="24"/>
          <w:szCs w:val="24"/>
        </w:rPr>
        <w:t xml:space="preserve">RMSE et MAE</w:t>
      </w:r>
    </w:p>
    <w:p>
      <w:pPr>
        <w:spacing w:after="100" w:before="60"/>
      </w:pPr>
      <w:r>
        <w:rPr>
          <w:rFonts w:ascii="Arial" w:cs="Arial" w:eastAsia="Arial" w:hAnsi="Arial"/>
          <w:color w:val="222222"/>
          <w:sz w:val="21"/>
          <w:szCs w:val="21"/>
        </w:rPr>
        <w:t xml:space="preserve">Le RMSE pénalise les grandes erreurs (sensible aux sinistres extrêmes). Le MAE est plus robuste. Les deux sont pondérés par l'exposition et donnés à titre indicatif — le Gini reste la référence pour le classement.</w:t>
      </w:r>
    </w:p>
    <w:p>
      <w:pPr>
        <w:spacing w:after="0" w:before="160"/>
      </w:pPr>
      <w:r>
        <w:t xml:space="preserve"/>
      </w:r>
    </w:p>
    <w:p>
      <w:pPr>
        <w:spacing w:after="120" w:before="320"/>
      </w:pPr>
      <w:r>
        <w:rPr>
          <w:rFonts w:ascii="Arial" w:cs="Arial" w:eastAsia="Arial" w:hAnsi="Arial"/>
          <w:color w:val="c9a227"/>
          <w:sz w:val="28"/>
          <w:szCs w:val="28"/>
        </w:rPr>
        <w:t xml:space="preserve">▌ </w:t>
      </w:r>
      <w:r>
        <w:rPr>
          <w:rFonts w:ascii="Arial" w:cs="Arial" w:eastAsia="Arial" w:hAnsi="Arial"/>
          <w:b/>
          <w:bCs/>
          <w:color w:val="1a1a2e"/>
          <w:sz w:val="28"/>
          <w:szCs w:val="28"/>
        </w:rPr>
        <w:t xml:space="preserve">2.5 Résultats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800"/>
        <w:gridCol w:w="826"/>
      </w:tblGrid>
      <w:tr>
        <w:tc>
          <w:tcPr>
            <w:tcW w:type="dxa" w:w="2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Modèle</w:t>
            </w:r>
          </w:p>
        </w:tc>
        <w:tc>
          <w:tcPr>
            <w:tcW w:type="dxa" w:w="1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Gini ↑</w:t>
            </w:r>
          </w:p>
        </w:tc>
        <w:tc>
          <w:tcPr>
            <w:tcW w:type="dxa" w:w="1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RMSE ↓ (€)</w:t>
            </w:r>
          </w:p>
        </w:tc>
        <w:tc>
          <w:tcPr>
            <w:tcW w:type="dxa" w:w="1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MAE ↓ (€)</w:t>
            </w:r>
          </w:p>
        </w:tc>
        <w:tc>
          <w:tcPr>
            <w:tcW w:type="dxa" w:w="826"/>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Rang</w:t>
            </w:r>
          </w:p>
        </w:tc>
      </w:tr>
      <w:tr>
        <w:tc>
          <w:tcPr>
            <w:tcW w:type="dxa" w:w="2800"/>
            <w:tcBorders>
              <w:top w:val="single" w:color="DDDDDD" w:sz="1"/>
              <w:left w:val="single" w:color="DDDDDD" w:sz="1"/>
              <w:bottom w:val="single" w:color="DDDDDD" w:sz="1"/>
              <w:right w:val="single" w:color="DDDDDD" w:sz="1"/>
            </w:tcBorders>
            <w:shd w:fill="EBF3FB" w:val="clear"/>
            <w:tcMar>
              <w:top w:type="dxa" w:w="90"/>
              <w:left w:type="dxa" w:w="140"/>
              <w:bottom w:type="dxa" w:w="90"/>
              <w:right w:type="dxa" w:w="140"/>
            </w:tcMar>
          </w:tcPr>
          <w:p>
            <w:pPr>
              <w:jc w:val="left"/>
            </w:pPr>
            <w:r>
              <w:rPr>
                <w:rFonts w:ascii="Arial" w:cs="Arial" w:eastAsia="Arial" w:hAnsi="Arial"/>
                <w:b/>
                <w:bCs/>
                <w:color w:val="1a1a2e"/>
                <w:sz w:val="20"/>
                <w:szCs w:val="20"/>
              </w:rPr>
              <w:t xml:space="preserve">GLM Poisson × Gamma ★</w:t>
            </w:r>
          </w:p>
        </w:tc>
        <w:tc>
          <w:tcPr>
            <w:tcW w:type="dxa" w:w="1800"/>
            <w:tcBorders>
              <w:top w:val="single" w:color="DDDDDD" w:sz="1"/>
              <w:left w:val="single" w:color="DDDDDD" w:sz="1"/>
              <w:bottom w:val="single" w:color="DDDDDD" w:sz="1"/>
              <w:right w:val="single" w:color="DDDDDD" w:sz="1"/>
            </w:tcBorders>
            <w:shd w:fill="EBF3FB" w:val="clear"/>
            <w:tcMar>
              <w:top w:type="dxa" w:w="90"/>
              <w:left w:type="dxa" w:w="140"/>
              <w:bottom w:type="dxa" w:w="90"/>
              <w:right w:type="dxa" w:w="140"/>
            </w:tcMar>
          </w:tcPr>
          <w:p>
            <w:pPr>
              <w:jc w:val="center"/>
            </w:pPr>
            <w:r>
              <w:rPr>
                <w:rFonts w:ascii="Arial" w:cs="Arial" w:eastAsia="Arial" w:hAnsi="Arial"/>
                <w:b/>
                <w:bCs/>
                <w:color w:val="2d6a9f"/>
                <w:sz w:val="20"/>
                <w:szCs w:val="20"/>
              </w:rPr>
              <w:t xml:space="preserve">0.3342</w:t>
            </w:r>
          </w:p>
        </w:tc>
        <w:tc>
          <w:tcPr>
            <w:tcW w:type="dxa" w:w="1800"/>
            <w:tcBorders>
              <w:top w:val="single" w:color="DDDDDD" w:sz="1"/>
              <w:left w:val="single" w:color="DDDDDD" w:sz="1"/>
              <w:bottom w:val="single" w:color="DDDDDD" w:sz="1"/>
              <w:right w:val="single" w:color="DDDDDD" w:sz="1"/>
            </w:tcBorders>
            <w:shd w:fill="EBF3FB" w:val="clear"/>
            <w:tcMar>
              <w:top w:type="dxa" w:w="90"/>
              <w:left w:type="dxa" w:w="140"/>
              <w:bottom w:type="dxa" w:w="90"/>
              <w:right w:type="dxa" w:w="140"/>
            </w:tcMar>
          </w:tcPr>
          <w:p>
            <w:pPr>
              <w:jc w:val="center"/>
            </w:pPr>
            <w:r>
              <w:rPr>
                <w:rFonts w:ascii="Arial" w:cs="Arial" w:eastAsia="Arial" w:hAnsi="Arial"/>
                <w:b w:val="false"/>
                <w:bCs w:val="false"/>
                <w:color w:val="1a1a2e"/>
                <w:sz w:val="20"/>
                <w:szCs w:val="20"/>
              </w:rPr>
              <w:t xml:space="preserve">1 175.76</w:t>
            </w:r>
          </w:p>
        </w:tc>
        <w:tc>
          <w:tcPr>
            <w:tcW w:type="dxa" w:w="1800"/>
            <w:tcBorders>
              <w:top w:val="single" w:color="DDDDDD" w:sz="1"/>
              <w:left w:val="single" w:color="DDDDDD" w:sz="1"/>
              <w:bottom w:val="single" w:color="DDDDDD" w:sz="1"/>
              <w:right w:val="single" w:color="DDDDDD" w:sz="1"/>
            </w:tcBorders>
            <w:shd w:fill="EBF3FB" w:val="clear"/>
            <w:tcMar>
              <w:top w:type="dxa" w:w="90"/>
              <w:left w:type="dxa" w:w="140"/>
              <w:bottom w:type="dxa" w:w="90"/>
              <w:right w:type="dxa" w:w="140"/>
            </w:tcMar>
          </w:tcPr>
          <w:p>
            <w:pPr>
              <w:jc w:val="center"/>
            </w:pPr>
            <w:r>
              <w:rPr>
                <w:rFonts w:ascii="Arial" w:cs="Arial" w:eastAsia="Arial" w:hAnsi="Arial"/>
                <w:b w:val="false"/>
                <w:bCs w:val="false"/>
                <w:color w:val="1a1a2e"/>
                <w:sz w:val="20"/>
                <w:szCs w:val="20"/>
              </w:rPr>
              <w:t xml:space="preserve">418.43</w:t>
            </w:r>
          </w:p>
        </w:tc>
        <w:tc>
          <w:tcPr>
            <w:tcW w:type="dxa" w:w="826"/>
            <w:tcBorders>
              <w:top w:val="single" w:color="DDDDDD" w:sz="1"/>
              <w:left w:val="single" w:color="DDDDDD" w:sz="1"/>
              <w:bottom w:val="single" w:color="DDDDDD" w:sz="1"/>
              <w:right w:val="single" w:color="DDDDDD" w:sz="1"/>
            </w:tcBorders>
            <w:shd w:fill="EBF3FB" w:val="clear"/>
            <w:tcMar>
              <w:top w:type="dxa" w:w="90"/>
              <w:left w:type="dxa" w:w="140"/>
              <w:bottom w:type="dxa" w:w="90"/>
              <w:right w:type="dxa" w:w="140"/>
            </w:tcMar>
          </w:tcPr>
          <w:p>
            <w:pPr>
              <w:jc w:val="center"/>
            </w:pPr>
            <w:r>
              <w:rPr>
                <w:rFonts w:ascii="Arial" w:cs="Arial" w:eastAsia="Arial" w:hAnsi="Arial"/>
                <w:b/>
                <w:bCs/>
                <w:color w:val="2d6a9f"/>
                <w:sz w:val="20"/>
                <w:szCs w:val="20"/>
              </w:rPr>
              <w:t xml:space="preserve">2</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bCs/>
                <w:color w:val="1a1a2e"/>
                <w:sz w:val="20"/>
                <w:szCs w:val="20"/>
              </w:rPr>
              <w:t xml:space="preserve">GLM Tweedie</w:t>
            </w:r>
          </w:p>
        </w:tc>
        <w:tc>
          <w:tcPr>
            <w:tcW w:type="dxa" w:w="1800"/>
            <w:tcBorders>
              <w:top w:val="single" w:color="DDDDDD" w:sz="1"/>
              <w:left w:val="single" w:color="DDDDDD" w:sz="1"/>
              <w:bottom w:val="single" w:color="DDDDDD" w:sz="1"/>
              <w:right w:val="single" w:color="DDDDDD" w:sz="1"/>
            </w:tcBorders>
            <w:shd w:fill="1a1a2e" w:val="clear"/>
            <w:tcMar>
              <w:top w:type="dxa" w:w="90"/>
              <w:left w:type="dxa" w:w="140"/>
              <w:bottom w:type="dxa" w:w="90"/>
              <w:right w:type="dxa" w:w="140"/>
            </w:tcMar>
          </w:tcPr>
          <w:p>
            <w:pPr>
              <w:jc w:val="center"/>
            </w:pPr>
            <w:r>
              <w:rPr>
                <w:rFonts w:ascii="Arial" w:cs="Arial" w:eastAsia="Arial" w:hAnsi="Arial"/>
                <w:b w:val="false"/>
                <w:bCs w:val="false"/>
                <w:color w:val="1a1a2e"/>
                <w:sz w:val="20"/>
                <w:szCs w:val="20"/>
              </w:rPr>
              <w:t xml:space="preserve">0.3313</w:t>
            </w:r>
          </w:p>
        </w:tc>
        <w:tc>
          <w:tcPr>
            <w:tcW w:type="dxa" w:w="1800"/>
            <w:tcBorders>
              <w:top w:val="single" w:color="DDDDDD" w:sz="1"/>
              <w:left w:val="single" w:color="DDDDDD" w:sz="1"/>
              <w:bottom w:val="single" w:color="DDDDDD" w:sz="1"/>
              <w:right w:val="single" w:color="DDDDDD" w:sz="1"/>
            </w:tcBorders>
            <w:shd w:fill="1a1a2e" w:val="clear"/>
            <w:tcMar>
              <w:top w:type="dxa" w:w="90"/>
              <w:left w:type="dxa" w:w="140"/>
              <w:bottom w:type="dxa" w:w="90"/>
              <w:right w:type="dxa" w:w="140"/>
            </w:tcMar>
          </w:tcPr>
          <w:p>
            <w:pPr>
              <w:jc w:val="center"/>
            </w:pPr>
            <w:r>
              <w:rPr>
                <w:rFonts w:ascii="Arial" w:cs="Arial" w:eastAsia="Arial" w:hAnsi="Arial"/>
                <w:b w:val="false"/>
                <w:bCs w:val="false"/>
                <w:color w:val="1a1a2e"/>
                <w:sz w:val="20"/>
                <w:szCs w:val="20"/>
              </w:rPr>
              <w:t xml:space="preserve">1 110.83</w:t>
            </w:r>
          </w:p>
        </w:tc>
        <w:tc>
          <w:tcPr>
            <w:tcW w:type="dxa" w:w="1800"/>
            <w:tcBorders>
              <w:top w:val="single" w:color="DDDDDD" w:sz="1"/>
              <w:left w:val="single" w:color="DDDDDD" w:sz="1"/>
              <w:bottom w:val="single" w:color="DDDDDD" w:sz="1"/>
              <w:right w:val="single" w:color="DDDDDD" w:sz="1"/>
            </w:tcBorders>
            <w:shd w:fill="1a1a2e" w:val="clear"/>
            <w:tcMar>
              <w:top w:type="dxa" w:w="90"/>
              <w:left w:type="dxa" w:w="140"/>
              <w:bottom w:type="dxa" w:w="90"/>
              <w:right w:type="dxa" w:w="140"/>
            </w:tcMar>
          </w:tcPr>
          <w:p>
            <w:pPr>
              <w:jc w:val="center"/>
            </w:pPr>
            <w:r>
              <w:rPr>
                <w:rFonts w:ascii="Arial" w:cs="Arial" w:eastAsia="Arial" w:hAnsi="Arial"/>
                <w:b w:val="false"/>
                <w:bCs w:val="false"/>
                <w:color w:val="1a1a2e"/>
                <w:sz w:val="20"/>
                <w:szCs w:val="20"/>
              </w:rPr>
              <w:t xml:space="preserve">214.75</w:t>
            </w:r>
          </w:p>
        </w:tc>
        <w:tc>
          <w:tcPr>
            <w:tcW w:type="dxa" w:w="826"/>
            <w:tcBorders>
              <w:top w:val="single" w:color="DDDDDD" w:sz="1"/>
              <w:left w:val="single" w:color="DDDDDD" w:sz="1"/>
              <w:bottom w:val="single" w:color="DDDDDD" w:sz="1"/>
              <w:right w:val="single" w:color="DDDDDD" w:sz="1"/>
            </w:tcBorders>
            <w:shd w:fill="1a1a2e" w:val="clear"/>
            <w:tcMar>
              <w:top w:type="dxa" w:w="90"/>
              <w:left w:type="dxa" w:w="140"/>
              <w:bottom w:type="dxa" w:w="90"/>
              <w:right w:type="dxa" w:w="140"/>
            </w:tcMar>
          </w:tcPr>
          <w:p>
            <w:pPr>
              <w:jc w:val="center"/>
            </w:pPr>
            <w:r>
              <w:rPr>
                <w:rFonts w:ascii="Arial" w:cs="Arial" w:eastAsia="Arial" w:hAnsi="Arial"/>
                <w:b/>
                <w:bCs/>
                <w:color w:val="666666"/>
                <w:sz w:val="20"/>
                <w:szCs w:val="20"/>
              </w:rPr>
              <w:t xml:space="preserve">3</w:t>
            </w:r>
          </w:p>
        </w:tc>
      </w:tr>
      <w:tr>
        <w:tc>
          <w:tcPr>
            <w:tcW w:type="dxa" w:w="2800"/>
            <w:tcBorders>
              <w:top w:val="single" w:color="DDDDDD" w:sz="1"/>
              <w:left w:val="single" w:color="DDDDDD" w:sz="1"/>
              <w:bottom w:val="single" w:color="DDDDDD" w:sz="1"/>
              <w:right w:val="single" w:color="DDDDDD" w:sz="1"/>
            </w:tcBorders>
            <w:shd w:fill="F0FFF0" w:val="clear"/>
            <w:tcMar>
              <w:top w:type="dxa" w:w="90"/>
              <w:left w:type="dxa" w:w="140"/>
              <w:bottom w:type="dxa" w:w="90"/>
              <w:right w:type="dxa" w:w="140"/>
            </w:tcMar>
          </w:tcPr>
          <w:p>
            <w:pPr>
              <w:jc w:val="left"/>
            </w:pPr>
            <w:r>
              <w:rPr>
                <w:rFonts w:ascii="Arial" w:cs="Arial" w:eastAsia="Arial" w:hAnsi="Arial"/>
                <w:b/>
                <w:bCs/>
                <w:color w:val="1a1a2e"/>
                <w:sz w:val="20"/>
                <w:szCs w:val="20"/>
              </w:rPr>
              <w:t xml:space="preserve">XGBoost</w:t>
            </w:r>
          </w:p>
        </w:tc>
        <w:tc>
          <w:tcPr>
            <w:tcW w:type="dxa" w:w="1800"/>
            <w:tcBorders>
              <w:top w:val="single" w:color="DDDDDD" w:sz="1"/>
              <w:left w:val="single" w:color="DDDDDD" w:sz="1"/>
              <w:bottom w:val="single" w:color="DDDDDD" w:sz="1"/>
              <w:right w:val="single" w:color="DDDDDD" w:sz="1"/>
            </w:tcBorders>
            <w:shd w:fill="F0FFF0" w:val="clear"/>
            <w:tcMar>
              <w:top w:type="dxa" w:w="90"/>
              <w:left w:type="dxa" w:w="140"/>
              <w:bottom w:type="dxa" w:w="90"/>
              <w:right w:type="dxa" w:w="140"/>
            </w:tcMar>
          </w:tcPr>
          <w:p>
            <w:pPr>
              <w:jc w:val="center"/>
            </w:pPr>
            <w:r>
              <w:rPr>
                <w:rFonts w:ascii="Arial" w:cs="Arial" w:eastAsia="Arial" w:hAnsi="Arial"/>
                <w:b/>
                <w:bCs/>
                <w:color w:val="1a7a1a"/>
                <w:sz w:val="20"/>
                <w:szCs w:val="20"/>
              </w:rPr>
              <w:t xml:space="preserve">0.3676</w:t>
            </w:r>
          </w:p>
        </w:tc>
        <w:tc>
          <w:tcPr>
            <w:tcW w:type="dxa" w:w="1800"/>
            <w:tcBorders>
              <w:top w:val="single" w:color="DDDDDD" w:sz="1"/>
              <w:left w:val="single" w:color="DDDDDD" w:sz="1"/>
              <w:bottom w:val="single" w:color="DDDDDD" w:sz="1"/>
              <w:right w:val="single" w:color="DDDDDD"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1a2e"/>
                <w:sz w:val="20"/>
                <w:szCs w:val="20"/>
              </w:rPr>
              <w:t xml:space="preserve">1 108.84</w:t>
            </w:r>
          </w:p>
        </w:tc>
        <w:tc>
          <w:tcPr>
            <w:tcW w:type="dxa" w:w="1800"/>
            <w:tcBorders>
              <w:top w:val="single" w:color="DDDDDD" w:sz="1"/>
              <w:left w:val="single" w:color="DDDDDD" w:sz="1"/>
              <w:bottom w:val="single" w:color="DDDDDD" w:sz="1"/>
              <w:right w:val="single" w:color="DDDDDD"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1a2e"/>
                <w:sz w:val="20"/>
                <w:szCs w:val="20"/>
              </w:rPr>
              <w:t xml:space="preserve">204.30</w:t>
            </w:r>
          </w:p>
        </w:tc>
        <w:tc>
          <w:tcPr>
            <w:tcW w:type="dxa" w:w="826"/>
            <w:tcBorders>
              <w:top w:val="single" w:color="DDDDDD" w:sz="1"/>
              <w:left w:val="single" w:color="DDDDDD" w:sz="1"/>
              <w:bottom w:val="single" w:color="DDDDDD" w:sz="1"/>
              <w:right w:val="single" w:color="DDDDDD" w:sz="1"/>
            </w:tcBorders>
            <w:shd w:fill="F0FFF0" w:val="clear"/>
            <w:tcMar>
              <w:top w:type="dxa" w:w="90"/>
              <w:left w:type="dxa" w:w="140"/>
              <w:bottom w:type="dxa" w:w="90"/>
              <w:right w:type="dxa" w:w="140"/>
            </w:tcMar>
          </w:tcPr>
          <w:p>
            <w:pPr>
              <w:jc w:val="center"/>
            </w:pPr>
            <w:r>
              <w:rPr>
                <w:rFonts w:ascii="Arial" w:cs="Arial" w:eastAsia="Arial" w:hAnsi="Arial"/>
                <w:b/>
                <w:bCs/>
                <w:color w:val="1a7a1a"/>
                <w:sz w:val="20"/>
                <w:szCs w:val="20"/>
              </w:rPr>
              <w:t xml:space="preserve">1</w:t>
            </w:r>
          </w:p>
        </w:tc>
      </w:tr>
    </w:tbl>
    <w:p>
      <w:pPr>
        <w:spacing w:after="0" w:before="80"/>
      </w:pPr>
      <w:r>
        <w:t xml:space="preserve"/>
      </w:r>
    </w:p>
    <w:p>
      <w:pPr>
        <w:spacing w:after="100" w:before="60"/>
      </w:pPr>
      <w:r>
        <w:rPr>
          <w:rFonts w:ascii="Arial" w:cs="Arial" w:eastAsia="Arial" w:hAnsi="Arial"/>
          <w:color w:val="2d6a9f"/>
          <w:sz w:val="21"/>
          <w:szCs w:val="21"/>
        </w:rPr>
        <w:t xml:space="preserve">★ Modèle retenu pour le moteur de tarification</w:t>
      </w:r>
    </w:p>
    <w:p>
      <w:pPr>
        <w:spacing w:after="0" w:before="160"/>
      </w:pPr>
      <w:r>
        <w:t xml:space="preserve"/>
      </w:r>
    </w:p>
    <w:p>
      <w:pPr>
        <w:spacing w:after="120" w:before="320"/>
      </w:pPr>
      <w:r>
        <w:rPr>
          <w:rFonts w:ascii="Arial" w:cs="Arial" w:eastAsia="Arial" w:hAnsi="Arial"/>
          <w:color w:val="c9a227"/>
          <w:sz w:val="28"/>
          <w:szCs w:val="28"/>
        </w:rPr>
        <w:t xml:space="preserve">▌ </w:t>
      </w:r>
      <w:r>
        <w:rPr>
          <w:rFonts w:ascii="Arial" w:cs="Arial" w:eastAsia="Arial" w:hAnsi="Arial"/>
          <w:b/>
          <w:bCs/>
          <w:color w:val="1a1a2e"/>
          <w:sz w:val="28"/>
          <w:szCs w:val="28"/>
        </w:rPr>
        <w:t xml:space="preserve">2.6 Analyse et interprétation</w:t>
      </w:r>
    </w:p>
    <w:p>
      <w:pPr>
        <w:spacing w:after="80" w:before="200"/>
      </w:pPr>
      <w:r>
        <w:rPr>
          <w:rFonts w:ascii="Arial" w:cs="Arial" w:eastAsia="Arial" w:hAnsi="Arial"/>
          <w:b/>
          <w:bCs/>
          <w:color w:val="2d6a9f"/>
          <w:sz w:val="24"/>
          <w:szCs w:val="24"/>
        </w:rPr>
        <w:t xml:space="preserve">Pouvoir discriminant</w:t>
      </w:r>
    </w:p>
    <w:p>
      <w:pPr>
        <w:spacing w:after="100" w:before="60"/>
      </w:pPr>
      <w:r>
        <w:rPr>
          <w:rFonts w:ascii="Arial" w:cs="Arial" w:eastAsia="Arial" w:hAnsi="Arial"/>
          <w:color w:val="222222"/>
          <w:sz w:val="21"/>
          <w:szCs w:val="21"/>
        </w:rPr>
        <w:t xml:space="preserve">XGBoost présente le Gini le plus élevé (0.3676), suivi du GLM Poisson × Gamma (0.3342) et du GLM Tweedie (0.3313). L'écart de ~3 points de Gini entre XGBoost et les GLM reflète la capacité du gradient boosting à capter des interactions non-linéaires entre variables sans les spécifier explicitement.</w:t>
      </w:r>
    </w:p>
    <w:p>
      <w:pPr>
        <w:spacing w:after="0" w:before="80"/>
      </w:pPr>
      <w:r>
        <w:t xml:space="preserve"/>
      </w:r>
    </w:p>
    <w:p>
      <w:pPr>
        <w:spacing w:after="80" w:before="200"/>
      </w:pPr>
      <w:r>
        <w:rPr>
          <w:rFonts w:ascii="Arial" w:cs="Arial" w:eastAsia="Arial" w:hAnsi="Arial"/>
          <w:b/>
          <w:bCs/>
          <w:color w:val="2d6a9f"/>
          <w:sz w:val="24"/>
          <w:szCs w:val="24"/>
        </w:rPr>
        <w:t xml:space="preserve">Erreur de prédiction</w:t>
      </w:r>
    </w:p>
    <w:p>
      <w:pPr>
        <w:spacing w:after="100" w:before="60"/>
      </w:pPr>
      <w:r>
        <w:rPr>
          <w:rFonts w:ascii="Arial" w:cs="Arial" w:eastAsia="Arial" w:hAnsi="Arial"/>
          <w:color w:val="222222"/>
          <w:sz w:val="21"/>
          <w:szCs w:val="21"/>
        </w:rPr>
        <w:t xml:space="preserve">Le RMSE et le MAE sont significativement plus faibles pour le Tweedie et XGBoost que pour le GLM Poisson × Gamma. La décomposition en deux modèles distincts introduit une variance additionnelle, notamment sur les polices sans sinistre dont la sévérité prédite est quand même non nulle.</w:t>
      </w:r>
    </w:p>
    <w:p>
      <w:pPr>
        <w:spacing w:after="0" w:before="80"/>
      </w:pPr>
      <w:r>
        <w:t xml:space="preserve"/>
      </w:r>
    </w:p>
    <w:p>
      <w:pPr>
        <w:spacing w:after="80" w:before="200"/>
      </w:pPr>
      <w:r>
        <w:rPr>
          <w:rFonts w:ascii="Arial" w:cs="Arial" w:eastAsia="Arial" w:hAnsi="Arial"/>
          <w:b/>
          <w:bCs/>
          <w:color w:val="2d6a9f"/>
          <w:sz w:val="24"/>
          <w:szCs w:val="24"/>
        </w:rPr>
        <w:t xml:space="preserve">Pourquoi le GLM Poisson × Gamma est retenu</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c>
          <w:tcPr>
            <w:tcW w:type="dxa" w:w="2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Critère</w:t>
            </w:r>
          </w:p>
        </w:tc>
        <w:tc>
          <w:tcPr>
            <w:tcW w:type="dxa" w:w="2275"/>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GLM Poisson × Gamma</w:t>
            </w:r>
          </w:p>
        </w:tc>
        <w:tc>
          <w:tcPr>
            <w:tcW w:type="dxa" w:w="2275"/>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GLM Tweedie</w:t>
            </w:r>
          </w:p>
        </w:tc>
        <w:tc>
          <w:tcPr>
            <w:tcW w:type="dxa" w:w="2276"/>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XGBoost</w:t>
            </w:r>
          </w:p>
        </w:tc>
      </w:tr>
      <w:tr>
        <w:tc>
          <w:tcPr>
            <w:tcW w:type="dxa" w:w="22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1a1a2e"/>
                <w:sz w:val="20"/>
                <w:szCs w:val="20"/>
              </w:rPr>
              <w:t xml:space="preserve">Interprétabilité</w:t>
            </w:r>
          </w:p>
        </w:tc>
        <w:tc>
          <w:tcPr>
            <w:tcW w:type="dxa" w:w="2275"/>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 Très haute</w:t>
            </w:r>
          </w:p>
        </w:tc>
        <w:tc>
          <w:tcPr>
            <w:tcW w:type="dxa" w:w="2275"/>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 Haute</w:t>
            </w:r>
          </w:p>
        </w:tc>
        <w:tc>
          <w:tcPr>
            <w:tcW w:type="dxa" w:w="2276"/>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 Boîte noire</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bCs/>
                <w:color w:val="1a1a2e"/>
                <w:sz w:val="20"/>
                <w:szCs w:val="20"/>
              </w:rPr>
              <w:t xml:space="preserve">Séparation fréq/sév</w:t>
            </w:r>
          </w:p>
        </w:tc>
        <w:tc>
          <w:tcPr>
            <w:tcW w:type="dxa" w:w="2275"/>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 Explicite</w:t>
            </w:r>
          </w:p>
        </w:tc>
        <w:tc>
          <w:tcPr>
            <w:tcW w:type="dxa" w:w="2275"/>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 Non</w:t>
            </w:r>
          </w:p>
        </w:tc>
        <w:tc>
          <w:tcPr>
            <w:tcW w:type="dxa" w:w="227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 Non</w:t>
            </w:r>
          </w:p>
        </w:tc>
      </w:tr>
      <w:tr>
        <w:tc>
          <w:tcPr>
            <w:tcW w:type="dxa" w:w="22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1a1a2e"/>
                <w:sz w:val="20"/>
                <w:szCs w:val="20"/>
              </w:rPr>
              <w:t xml:space="preserve">Conformité Solvabilité II</w:t>
            </w:r>
          </w:p>
        </w:tc>
        <w:tc>
          <w:tcPr>
            <w:tcW w:type="dxa" w:w="2275"/>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 Compatible ACPR</w:t>
            </w:r>
          </w:p>
        </w:tc>
        <w:tc>
          <w:tcPr>
            <w:tcW w:type="dxa" w:w="2275"/>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 Compatible</w:t>
            </w:r>
          </w:p>
        </w:tc>
        <w:tc>
          <w:tcPr>
            <w:tcW w:type="dxa" w:w="2276"/>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 Difficile à auditer</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bCs/>
                <w:color w:val="1a1a2e"/>
                <w:sz w:val="20"/>
                <w:szCs w:val="20"/>
              </w:rPr>
              <w:t xml:space="preserve">Stabilité OOS</w:t>
            </w:r>
          </w:p>
        </w:tc>
        <w:tc>
          <w:tcPr>
            <w:tcW w:type="dxa" w:w="2275"/>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 Régularisé</w:t>
            </w:r>
          </w:p>
        </w:tc>
        <w:tc>
          <w:tcPr>
            <w:tcW w:type="dxa" w:w="2275"/>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 Régularisé</w:t>
            </w:r>
          </w:p>
        </w:tc>
        <w:tc>
          <w:tcPr>
            <w:tcW w:type="dxa" w:w="227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 Surapprentissage possible</w:t>
            </w:r>
          </w:p>
        </w:tc>
      </w:tr>
      <w:tr>
        <w:tc>
          <w:tcPr>
            <w:tcW w:type="dxa" w:w="22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1a1a2e"/>
                <w:sz w:val="20"/>
                <w:szCs w:val="20"/>
              </w:rPr>
              <w:t xml:space="preserve">Gini</w:t>
            </w:r>
          </w:p>
        </w:tc>
        <w:tc>
          <w:tcPr>
            <w:tcW w:type="dxa" w:w="2275"/>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2d6a9f"/>
                <w:sz w:val="20"/>
                <w:szCs w:val="20"/>
              </w:rPr>
              <w:t xml:space="preserve">0.3342</w:t>
            </w:r>
          </w:p>
        </w:tc>
        <w:tc>
          <w:tcPr>
            <w:tcW w:type="dxa" w:w="2275"/>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0.3313</w:t>
            </w:r>
          </w:p>
        </w:tc>
        <w:tc>
          <w:tcPr>
            <w:tcW w:type="dxa" w:w="2276"/>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1a7a1a"/>
                <w:sz w:val="20"/>
                <w:szCs w:val="20"/>
              </w:rPr>
              <w:t xml:space="preserve">0.3676</w:t>
            </w:r>
          </w:p>
        </w:tc>
      </w:tr>
    </w:tbl>
    <w:p>
      <w:pPr>
        <w:spacing w:after="0" w:before="80"/>
      </w:pPr>
      <w:r>
        <w:t xml:space="preserve"/>
      </w:r>
    </w:p>
    <w:p>
      <w:pPr>
        <w:spacing w:after="100" w:before="60"/>
      </w:pPr>
      <w:r>
        <w:rPr>
          <w:rFonts w:ascii="Arial" w:cs="Arial" w:eastAsia="Arial" w:hAnsi="Arial"/>
          <w:color w:val="222222"/>
          <w:sz w:val="21"/>
          <w:szCs w:val="21"/>
        </w:rPr>
        <w:t xml:space="preserve">La réglementation Solvabilité II et les exigences de l'ACPR imposent que les modèles de tarification soient auditables police par police. Un modèle XGBoost, bien que performant, nécessite des outils additionnels (SHAP values) pour justifier ses prédictions devant un régulateur. La séparation fréquence/sévérité du GLM Poisson × Gamma offre en outre un avantage opérationnel : agir sur l'un ou l'autre levier selon le profil de sinistralité du portefeuille.</w:t>
      </w:r>
    </w:p>
    <w:p>
      <w:r>
        <w:br w:type="page"/>
      </w:r>
    </w:p>
    <w:p>
      <w:pPr>
        <w:pBdr>
          <w:bottom w:val="single" w:color="c9a227" w:sz="8" w:space="6"/>
        </w:pBdr>
        <w:spacing w:after="160" w:before="480"/>
      </w:pPr>
      <w:r>
        <w:rPr>
          <w:rFonts w:ascii="Arial" w:cs="Arial" w:eastAsia="Arial" w:hAnsi="Arial"/>
          <w:b/>
          <w:bCs/>
          <w:color w:val="1a1a2e"/>
          <w:sz w:val="40"/>
          <w:szCs w:val="40"/>
        </w:rPr>
        <w:t xml:space="preserve">3. Application Streamlit</w:t>
      </w:r>
    </w:p>
    <w:p>
      <w:pPr>
        <w:spacing w:after="120" w:before="320"/>
      </w:pPr>
      <w:r>
        <w:rPr>
          <w:rFonts w:ascii="Arial" w:cs="Arial" w:eastAsia="Arial" w:hAnsi="Arial"/>
          <w:color w:val="c9a227"/>
          <w:sz w:val="28"/>
          <w:szCs w:val="28"/>
        </w:rPr>
        <w:t xml:space="preserve">▌ </w:t>
      </w:r>
      <w:r>
        <w:rPr>
          <w:rFonts w:ascii="Arial" w:cs="Arial" w:eastAsia="Arial" w:hAnsi="Arial"/>
          <w:b/>
          <w:bCs/>
          <w:color w:val="1a1a2e"/>
          <w:sz w:val="28"/>
          <w:szCs w:val="28"/>
        </w:rPr>
        <w:t xml:space="preserve">3.1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1a1a2e"/>
                <w:sz w:val="20"/>
                <w:szCs w:val="20"/>
              </w:rPr>
              <w:t xml:space="preserve">app/app.py</w:t>
            </w:r>
          </w:p>
        </w:tc>
        <w:tc>
          <w:tcPr>
            <w:tcW w:type="dxa" w:w="6026"/>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Interface principale — sidebar profil, prime card, waterfall, carte France, LLM</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bCs/>
                <w:color w:val="1a1a2e"/>
                <w:sz w:val="20"/>
                <w:szCs w:val="20"/>
              </w:rPr>
              <w:t xml:space="preserve">app/llm_explainer.py</w:t>
            </w:r>
          </w:p>
        </w:tc>
        <w:tc>
          <w:tcPr>
            <w:tcW w:type="dxa" w:w="6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Module LLM double mode (grand public / actuaire) via API Groq</w:t>
            </w:r>
          </w:p>
        </w:tc>
      </w:tr>
      <w:tr>
        <w:tc>
          <w:tcPr>
            <w:tcW w:type="dxa" w:w="30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1a1a2e"/>
                <w:sz w:val="20"/>
                <w:szCs w:val="20"/>
              </w:rPr>
              <w:t xml:space="preserve">src/models.py</w:t>
            </w:r>
          </w:p>
        </w:tc>
        <w:tc>
          <w:tcPr>
            <w:tcW w:type="dxa" w:w="6026"/>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Chargement GLM Poisson + Gamma, predict_prime_pure()</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bCs/>
                <w:color w:val="1a1a2e"/>
                <w:sz w:val="20"/>
                <w:szCs w:val="20"/>
              </w:rPr>
              <w:t xml:space="preserve">src/data.py</w:t>
            </w:r>
          </w:p>
        </w:tc>
        <w:tc>
          <w:tcPr>
            <w:tcW w:type="dxa" w:w="6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Chargement et préparation du dataset freMTPL2</w:t>
            </w:r>
          </w:p>
        </w:tc>
      </w:tr>
      <w:tr>
        <w:tc>
          <w:tcPr>
            <w:tcW w:type="dxa" w:w="30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1a1a2e"/>
                <w:sz w:val="20"/>
                <w:szCs w:val="20"/>
              </w:rPr>
              <w:t xml:space="preserve">src/metrics.py</w:t>
            </w:r>
          </w:p>
        </w:tc>
        <w:tc>
          <w:tcPr>
            <w:tcW w:type="dxa" w:w="6026"/>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Gini, courbe de Lorenz, lift curve, résidus de Pearson (Plotly)</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bCs/>
                <w:color w:val="1a1a2e"/>
                <w:sz w:val="20"/>
                <w:szCs w:val="20"/>
              </w:rPr>
              <w:t xml:space="preserve">.streamlit/config.toml</w:t>
            </w:r>
          </w:p>
        </w:tc>
        <w:tc>
          <w:tcPr>
            <w:tcW w:type="dxa" w:w="6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Thème visuel — fond #f7f5f0, couleur primaire #f0c040</w:t>
            </w:r>
          </w:p>
        </w:tc>
      </w:tr>
    </w:tbl>
    <w:p>
      <w:pPr>
        <w:spacing w:after="0" w:before="160"/>
      </w:pPr>
      <w:r>
        <w:t xml:space="preserve"/>
      </w:r>
    </w:p>
    <w:p>
      <w:pPr>
        <w:spacing w:after="120" w:before="320"/>
      </w:pPr>
      <w:r>
        <w:rPr>
          <w:rFonts w:ascii="Arial" w:cs="Arial" w:eastAsia="Arial" w:hAnsi="Arial"/>
          <w:color w:val="c9a227"/>
          <w:sz w:val="28"/>
          <w:szCs w:val="28"/>
        </w:rPr>
        <w:t xml:space="preserve">▌ </w:t>
      </w:r>
      <w:r>
        <w:rPr>
          <w:rFonts w:ascii="Arial" w:cs="Arial" w:eastAsia="Arial" w:hAnsi="Arial"/>
          <w:b/>
          <w:bCs/>
          <w:color w:val="1a1a2e"/>
          <w:sz w:val="28"/>
          <w:szCs w:val="28"/>
        </w:rPr>
        <w:t xml:space="preserve">3.2 Calcul de la prime pure en temps réel</w:t>
      </w:r>
    </w:p>
    <w:p>
      <w:pPr>
        <w:spacing w:after="100" w:before="60"/>
      </w:pPr>
      <w:r>
        <w:rPr>
          <w:rFonts w:ascii="Arial" w:cs="Arial" w:eastAsia="Arial" w:hAnsi="Arial"/>
          <w:color w:val="222222"/>
          <w:sz w:val="21"/>
          <w:szCs w:val="21"/>
        </w:rPr>
        <w:t xml:space="preserve">La prime pure est recalculée à chaque interaction dans la sidebar. La fonction predict_prime_pure() enchaîne :</w:t>
      </w:r>
    </w:p>
    <w:p>
      <w:pPr>
        <w:spacing w:after="60" w:before="60"/>
        <w:ind w:left="400" w:hanging="280"/>
      </w:pPr>
      <w:r>
        <w:rPr>
          <w:rFonts w:ascii="Arial" w:cs="Arial" w:eastAsia="Arial" w:hAnsi="Arial"/>
          <w:b/>
          <w:bCs/>
          <w:color w:val="c9a227"/>
          <w:sz w:val="21"/>
          <w:szCs w:val="21"/>
        </w:rPr>
        <w:t xml:space="preserve">● </w:t>
      </w:r>
      <w:r>
        <w:rPr>
          <w:rFonts w:ascii="Arial" w:cs="Arial" w:eastAsia="Arial" w:hAnsi="Arial"/>
          <w:b/>
          <w:bCs/>
          <w:color w:val="1a1a2e"/>
          <w:sz w:val="21"/>
          <w:szCs w:val="21"/>
        </w:rPr>
        <w:t xml:space="preserve"> : </w:t>
      </w:r>
      <w:r>
        <w:rPr>
          <w:rFonts w:ascii="Arial" w:cs="Arial" w:eastAsia="Arial" w:hAnsi="Arial"/>
          <w:color w:val="222222"/>
          <w:sz w:val="21"/>
          <w:szCs w:val="21"/>
        </w:rPr>
        <w:t xml:space="preserve">GLM Poisson prédit ClaimNb avec offset log(Exposure), ramené à l'annuel par division par l'exposition.</w:t>
      </w:r>
    </w:p>
    <w:p>
      <w:pPr>
        <w:spacing w:after="60" w:before="60"/>
        <w:ind w:left="400" w:hanging="280"/>
      </w:pPr>
      <w:r>
        <w:rPr>
          <w:rFonts w:ascii="Arial" w:cs="Arial" w:eastAsia="Arial" w:hAnsi="Arial"/>
          <w:b/>
          <w:bCs/>
          <w:color w:val="c9a227"/>
          <w:sz w:val="21"/>
          <w:szCs w:val="21"/>
        </w:rPr>
        <w:t xml:space="preserve">● </w:t>
      </w:r>
      <w:r>
        <w:rPr>
          <w:rFonts w:ascii="Arial" w:cs="Arial" w:eastAsia="Arial" w:hAnsi="Arial"/>
          <w:b/>
          <w:bCs/>
          <w:color w:val="1a1a2e"/>
          <w:sz w:val="21"/>
          <w:szCs w:val="21"/>
        </w:rPr>
        <w:t xml:space="preserve"> : </w:t>
      </w:r>
      <w:r>
        <w:rPr>
          <w:rFonts w:ascii="Arial" w:cs="Arial" w:eastAsia="Arial" w:hAnsi="Arial"/>
          <w:color w:val="222222"/>
          <w:sz w:val="21"/>
          <w:szCs w:val="21"/>
        </w:rPr>
        <w:t xml:space="preserve">GLM Gamma prédit CoutMoyen à partir de BonusMalus, VehAge, DrivAge, VehPower et Region.</w:t>
      </w:r>
    </w:p>
    <w:p>
      <w:pPr>
        <w:spacing w:after="60" w:before="60"/>
        <w:ind w:left="400" w:hanging="280"/>
      </w:pPr>
      <w:r>
        <w:rPr>
          <w:rFonts w:ascii="Arial" w:cs="Arial" w:eastAsia="Arial" w:hAnsi="Arial"/>
          <w:b/>
          <w:bCs/>
          <w:color w:val="c9a227"/>
          <w:sz w:val="21"/>
          <w:szCs w:val="21"/>
        </w:rPr>
        <w:t xml:space="preserve">● </w:t>
      </w:r>
      <w:r>
        <w:rPr>
          <w:rFonts w:ascii="Arial" w:cs="Arial" w:eastAsia="Arial" w:hAnsi="Arial"/>
          <w:b/>
          <w:bCs/>
          <w:color w:val="1a1a2e"/>
          <w:sz w:val="21"/>
          <w:szCs w:val="21"/>
        </w:rPr>
        <w:t xml:space="preserve"> = </w:t>
      </w:r>
      <w:r>
        <w:rPr>
          <w:rFonts w:ascii="Arial" w:cs="Arial" w:eastAsia="Arial" w:hAnsi="Arial"/>
          <w:color w:val="222222"/>
          <w:sz w:val="21"/>
          <w:szCs w:val="21"/>
        </w:rPr>
        <w:t xml:space="preserve">fréquence × sévérité, affichée dans la prime card centrale.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BF3FB" w:val="clear"/>
            <w:tcMar>
              <w:top w:type="dxa" w:w="120"/>
              <w:left w:type="dxa" w:w="180"/>
              <w:bottom w:type="dxa" w:w="120"/>
              <w:right w:type="dxa" w:w="180"/>
            </w:tcMar>
          </w:tcPr>
          <w:p>
            <w:r>
              <w:rPr>
                <w:rFonts w:ascii="Arial" w:cs="Arial" w:eastAsia="Arial" w:hAnsi="Arial"/>
                <w:color w:val="1a4a7a"/>
                <w:sz w:val="20"/>
                <w:szCs w:val="20"/>
              </w:rPr>
              <w:t xml:space="preserve">Exemple pour le profil de référence (35 ans, BM 100, Rhône-Alpes, 7 CV, 5 ans, 35 ans) : Fréquence = 0.0530 sinistres/an — Sévérité = 2 111 € — Prime pure = 111.87 €/an</w:t>
            </w:r>
          </w:p>
        </w:tc>
      </w:tr>
    </w:tbl>
    <w:p>
      <w:pPr>
        <w:spacing w:after="0" w:before="160"/>
      </w:pPr>
      <w:r>
        <w:t xml:space="preserve"/>
      </w:r>
    </w:p>
    <w:p>
      <w:pPr>
        <w:spacing w:after="120" w:before="320"/>
      </w:pPr>
      <w:r>
        <w:rPr>
          <w:rFonts w:ascii="Arial" w:cs="Arial" w:eastAsia="Arial" w:hAnsi="Arial"/>
          <w:color w:val="c9a227"/>
          <w:sz w:val="28"/>
          <w:szCs w:val="28"/>
        </w:rPr>
        <w:t xml:space="preserve">▌ </w:t>
      </w:r>
      <w:r>
        <w:rPr>
          <w:rFonts w:ascii="Arial" w:cs="Arial" w:eastAsia="Arial" w:hAnsi="Arial"/>
          <w:b/>
          <w:bCs/>
          <w:color w:val="1a1a2e"/>
          <w:sz w:val="28"/>
          <w:szCs w:val="28"/>
        </w:rPr>
        <w:t xml:space="preserve">3.3 Décomposition waterfall</w:t>
      </w:r>
    </w:p>
    <w:p>
      <w:pPr>
        <w:spacing w:after="100" w:before="60"/>
      </w:pPr>
      <w:r>
        <w:rPr>
          <w:rFonts w:ascii="Arial" w:cs="Arial" w:eastAsia="Arial" w:hAnsi="Arial"/>
          <w:color w:val="222222"/>
          <w:sz w:val="21"/>
          <w:szCs w:val="21"/>
        </w:rPr>
        <w:t xml:space="preserve">Le graphique waterfall décompose la prime en contributions marginales de chaque facteur de risque. La méthode utilisée est la décomposition séquentielle : on part d'un profil de référence neutre et on ajoute une variable à la fois en mesurant l'écart de prime à chaque étape.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1a1a2e"/>
                <w:sz w:val="20"/>
                <w:szCs w:val="20"/>
              </w:rPr>
              <w:t xml:space="preserve">Profil de référence</w:t>
            </w:r>
          </w:p>
        </w:tc>
        <w:tc>
          <w:tcPr>
            <w:tcW w:type="dxa" w:w="6026"/>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Tranche 36-45, BM 100, région R82, puissance 7 CV, véhicule 5 ans, conducteur 35 ans</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bCs/>
                <w:color w:val="1a1a2e"/>
                <w:sz w:val="20"/>
                <w:szCs w:val="20"/>
              </w:rPr>
              <w:t xml:space="preserve">Facteurs</w:t>
            </w:r>
          </w:p>
        </w:tc>
        <w:tc>
          <w:tcPr>
            <w:tcW w:type="dxa" w:w="6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Tranche d'âge → Région → Bonus-Malus → Âge conducteur → Puissance → Âge véhicule</w:t>
            </w:r>
          </w:p>
        </w:tc>
      </w:tr>
      <w:tr>
        <w:tc>
          <w:tcPr>
            <w:tcW w:type="dxa" w:w="30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1a1a2e"/>
                <w:sz w:val="20"/>
                <w:szCs w:val="20"/>
              </w:rPr>
              <w:t xml:space="preserve">Contribution</w:t>
            </w:r>
          </w:p>
        </w:tc>
        <w:tc>
          <w:tcPr>
            <w:tcW w:type="dxa" w:w="6026"/>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Différence de prime entre deux prédictions successives du modèle réel</w:t>
            </w:r>
          </w:p>
        </w:tc>
      </w:tr>
    </w:tbl>
    <w:p>
      <w:pPr>
        <w:spacing w:after="0" w:before="160"/>
      </w:pPr>
      <w:r>
        <w:t xml:space="preserve"/>
      </w:r>
    </w:p>
    <w:p>
      <w:pPr>
        <w:spacing w:after="120" w:before="320"/>
      </w:pPr>
      <w:r>
        <w:rPr>
          <w:rFonts w:ascii="Arial" w:cs="Arial" w:eastAsia="Arial" w:hAnsi="Arial"/>
          <w:color w:val="c9a227"/>
          <w:sz w:val="28"/>
          <w:szCs w:val="28"/>
        </w:rPr>
        <w:t xml:space="preserve">▌ </w:t>
      </w:r>
      <w:r>
        <w:rPr>
          <w:rFonts w:ascii="Arial" w:cs="Arial" w:eastAsia="Arial" w:hAnsi="Arial"/>
          <w:b/>
          <w:bCs/>
          <w:color w:val="1a1a2e"/>
          <w:sz w:val="28"/>
          <w:szCs w:val="28"/>
        </w:rPr>
        <w:t xml:space="preserve">3.4 Module LLM explicateur</w:t>
      </w:r>
    </w:p>
    <w:p>
      <w:pPr>
        <w:spacing w:after="80" w:before="200"/>
      </w:pPr>
      <w:r>
        <w:rPr>
          <w:rFonts w:ascii="Arial" w:cs="Arial" w:eastAsia="Arial" w:hAnsi="Arial"/>
          <w:b/>
          <w:bCs/>
          <w:color w:val="2d6a9f"/>
          <w:sz w:val="24"/>
          <w:szCs w:val="24"/>
        </w:rPr>
        <w:t xml:space="preserve">Motivation</w:t>
      </w:r>
    </w:p>
    <w:p>
      <w:pPr>
        <w:spacing w:after="100" w:before="60"/>
      </w:pPr>
      <w:r>
        <w:rPr>
          <w:rFonts w:ascii="Arial" w:cs="Arial" w:eastAsia="Arial" w:hAnsi="Arial"/>
          <w:color w:val="222222"/>
          <w:sz w:val="21"/>
          <w:szCs w:val="21"/>
        </w:rPr>
        <w:t xml:space="preserve">La prime résulte d'une combinaison de variables dont l'effet n'est pas immédiatement lisible par un non-spécialiste. Le module LLM génère automatiquement une explication adaptée au profil de l'interlocuteur.</w:t>
      </w:r>
    </w:p>
    <w:p>
      <w:pPr>
        <w:spacing w:after="0" w:before="80"/>
      </w:pPr>
      <w:r>
        <w:t xml:space="preserve"/>
      </w:r>
    </w:p>
    <w:p>
      <w:pPr>
        <w:spacing w:after="80" w:before="200"/>
      </w:pPr>
      <w:r>
        <w:rPr>
          <w:rFonts w:ascii="Arial" w:cs="Arial" w:eastAsia="Arial" w:hAnsi="Arial"/>
          <w:b/>
          <w:bCs/>
          <w:color w:val="2d6a9f"/>
          <w:sz w:val="24"/>
          <w:szCs w:val="24"/>
        </w:rPr>
        <w:t xml:space="preserve">Architecture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1a1a2e"/>
                <w:sz w:val="20"/>
                <w:szCs w:val="20"/>
              </w:rPr>
              <w:t xml:space="preserve">API</w:t>
            </w:r>
          </w:p>
        </w:tc>
        <w:tc>
          <w:tcPr>
            <w:tcW w:type="dxa" w:w="6026"/>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Groq — inférence sur GPU H100, latence &lt; 1 seconde</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bCs/>
                <w:color w:val="1a1a2e"/>
                <w:sz w:val="20"/>
                <w:szCs w:val="20"/>
              </w:rPr>
              <w:t xml:space="preserve">Modèle</w:t>
            </w:r>
          </w:p>
        </w:tc>
        <w:tc>
          <w:tcPr>
            <w:tcW w:type="dxa" w:w="6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llama-3.3-70b-versatile</w:t>
            </w:r>
          </w:p>
        </w:tc>
      </w:tr>
      <w:tr>
        <w:tc>
          <w:tcPr>
            <w:tcW w:type="dxa" w:w="30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1a1a2e"/>
                <w:sz w:val="20"/>
                <w:szCs w:val="20"/>
              </w:rPr>
              <w:t xml:space="preserve">Streaming</w:t>
            </w:r>
          </w:p>
        </w:tc>
        <w:tc>
          <w:tcPr>
            <w:tcW w:type="dxa" w:w="6026"/>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Token par token — effet temps réel dans l'interface Streamlit</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bCs/>
                <w:color w:val="1a1a2e"/>
                <w:sz w:val="20"/>
                <w:szCs w:val="20"/>
              </w:rPr>
              <w:t xml:space="preserve">Langue</w:t>
            </w:r>
          </w:p>
        </w:tc>
        <w:tc>
          <w:tcPr>
            <w:tcW w:type="dxa" w:w="6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Français — prompt système en français</w:t>
            </w:r>
          </w:p>
        </w:tc>
      </w:tr>
    </w:tbl>
    <w:p>
      <w:pPr>
        <w:spacing w:after="0" w:before="80"/>
      </w:pPr>
      <w:r>
        <w:t xml:space="preserve"/>
      </w:r>
    </w:p>
    <w:p>
      <w:pPr>
        <w:spacing w:after="80" w:before="200"/>
      </w:pPr>
      <w:r>
        <w:rPr>
          <w:rFonts w:ascii="Arial" w:cs="Arial" w:eastAsia="Arial" w:hAnsi="Arial"/>
          <w:b/>
          <w:bCs/>
          <w:color w:val="2d6a9f"/>
          <w:sz w:val="24"/>
          <w:szCs w:val="24"/>
        </w:rPr>
        <w:t xml:space="preserve">Deux modes d'explication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
            </w:r>
          </w:p>
        </w:tc>
        <w:tc>
          <w:tcPr>
            <w:tcW w:type="dxa" w:w="3513"/>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 Grand public</w:t>
            </w:r>
          </w:p>
        </w:tc>
        <w:tc>
          <w:tcPr>
            <w:tcW w:type="dxa" w:w="3513"/>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 Actuaire</w:t>
            </w:r>
          </w:p>
        </w:tc>
      </w:tr>
      <w:tr>
        <w:tc>
          <w:tcPr>
            <w:tcW w:type="dxa" w:w="20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1a1a2e"/>
                <w:sz w:val="20"/>
                <w:szCs w:val="20"/>
              </w:rPr>
              <w:t xml:space="preserve">Cible</w:t>
            </w:r>
          </w:p>
        </w:tc>
        <w:tc>
          <w:tcPr>
            <w:tcW w:type="dxa" w:w="3513"/>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Assuré non-spécialiste</w:t>
            </w:r>
          </w:p>
        </w:tc>
        <w:tc>
          <w:tcPr>
            <w:tcW w:type="dxa" w:w="3513"/>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Actuaire junior / auditeur</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bCs/>
                <w:color w:val="1a1a2e"/>
                <w:sz w:val="20"/>
                <w:szCs w:val="20"/>
              </w:rPr>
              <w:t xml:space="preserve">Longueur</w:t>
            </w:r>
          </w:p>
        </w:tc>
        <w:tc>
          <w:tcPr>
            <w:tcW w:type="dxa" w:w="3513"/>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200 mots maximum</w:t>
            </w:r>
          </w:p>
        </w:tc>
        <w:tc>
          <w:tcPr>
            <w:tcW w:type="dxa" w:w="3513"/>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350 mots maximum</w:t>
            </w:r>
          </w:p>
        </w:tc>
      </w:tr>
      <w:tr>
        <w:tc>
          <w:tcPr>
            <w:tcW w:type="dxa" w:w="20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1a1a2e"/>
                <w:sz w:val="20"/>
                <w:szCs w:val="20"/>
              </w:rPr>
              <w:t xml:space="preserve">Style</w:t>
            </w:r>
          </w:p>
        </w:tc>
        <w:tc>
          <w:tcPr>
            <w:tcW w:type="dxa" w:w="3513"/>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Langage clair, analogies concrètes, ton rassurant</w:t>
            </w:r>
          </w:p>
        </w:tc>
        <w:tc>
          <w:tcPr>
            <w:tcW w:type="dxa" w:w="3513"/>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Notation statistique, formules GLM, limites du modèle</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bCs/>
                <w:color w:val="1a1a2e"/>
                <w:sz w:val="20"/>
                <w:szCs w:val="20"/>
              </w:rPr>
              <w:t xml:space="preserve">Contenu clé</w:t>
            </w:r>
          </w:p>
        </w:tc>
        <w:tc>
          <w:tcPr>
            <w:tcW w:type="dxa" w:w="3513"/>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Facteurs favorables / défavorables, comparaison portefeuille</w:t>
            </w:r>
          </w:p>
        </w:tc>
        <w:tc>
          <w:tcPr>
            <w:tcW w:type="dxa" w:w="3513"/>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Prime Pure = λ × μ, offset log(Exposure), coefficients régionaux, hypothèses</w:t>
            </w:r>
          </w:p>
        </w:tc>
      </w:tr>
    </w:tbl>
    <w:p>
      <w:pPr>
        <w:spacing w:after="0" w:before="160"/>
      </w:pPr>
      <w:r>
        <w:t xml:space="preserve"/>
      </w:r>
    </w:p>
    <w:p>
      <w:pPr>
        <w:pBdr>
          <w:bottom w:val="single" w:color="c9a227" w:sz="8" w:space="6"/>
        </w:pBdr>
        <w:spacing w:after="160" w:before="480"/>
      </w:pPr>
      <w:r>
        <w:rPr>
          <w:rFonts w:ascii="Arial" w:cs="Arial" w:eastAsia="Arial" w:hAnsi="Arial"/>
          <w:b/>
          <w:bCs/>
          <w:color w:val="1a1a2e"/>
          <w:sz w:val="40"/>
          <w:szCs w:val="40"/>
        </w:rPr>
        <w:t xml:space="preserve">4. Infrastructure et reproductibilité</w:t>
      </w:r>
    </w:p>
    <w:p>
      <w:pPr>
        <w:spacing w:after="120" w:before="320"/>
      </w:pPr>
      <w:r>
        <w:rPr>
          <w:rFonts w:ascii="Arial" w:cs="Arial" w:eastAsia="Arial" w:hAnsi="Arial"/>
          <w:color w:val="c9a227"/>
          <w:sz w:val="28"/>
          <w:szCs w:val="28"/>
        </w:rPr>
        <w:t xml:space="preserve">▌ </w:t>
      </w:r>
      <w:r>
        <w:rPr>
          <w:rFonts w:ascii="Arial" w:cs="Arial" w:eastAsia="Arial" w:hAnsi="Arial"/>
          <w:b/>
          <w:bCs/>
          <w:color w:val="1a1a2e"/>
          <w:sz w:val="28"/>
          <w:szCs w:val="28"/>
        </w:rPr>
        <w:t xml:space="preserve">4.1 Gestion de version</w:t>
      </w:r>
    </w:p>
    <w:p>
      <w:pPr>
        <w:spacing w:after="100" w:before="60"/>
      </w:pPr>
      <w:r>
        <w:rPr>
          <w:rFonts w:ascii="Arial" w:cs="Arial" w:eastAsia="Arial" w:hAnsi="Arial"/>
          <w:color w:val="222222"/>
          <w:sz w:val="21"/>
          <w:szCs w:val="21"/>
        </w:rPr>
        <w:t xml:space="preserve">Le projet est versionné sur GitLab (forge.univ-lyon1.fr/p2110892/tarification-iard). Chaque contributeur travaille sur sa branche dédiée (marion, mario, Laflame) avant de merger dans main. Les modèles .pkl sont versionnés ; les données brutes ne le sont pas (.gitignore).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1a1a2e"/>
                <w:sz w:val="20"/>
                <w:szCs w:val="20"/>
              </w:rPr>
              <w:t xml:space="preserve">Branche marion</w:t>
            </w:r>
          </w:p>
        </w:tc>
        <w:tc>
          <w:tcPr>
            <w:tcW w:type="dxa" w:w="6026"/>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Exploration + GLM Poisson — notebooks 01 et 02, glm_poisson.pkl</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bCs/>
                <w:color w:val="1a1a2e"/>
                <w:sz w:val="20"/>
                <w:szCs w:val="20"/>
              </w:rPr>
              <w:t xml:space="preserve">Branche mario</w:t>
            </w:r>
          </w:p>
        </w:tc>
        <w:tc>
          <w:tcPr>
            <w:tcW w:type="dxa" w:w="6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GLM Gamma — src/glm_gamma_severite.ipynb, glm_gamma_v4.pkl</w:t>
            </w:r>
          </w:p>
        </w:tc>
      </w:tr>
      <w:tr>
        <w:tc>
          <w:tcPr>
            <w:tcW w:type="dxa" w:w="30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1a1a2e"/>
                <w:sz w:val="20"/>
                <w:szCs w:val="20"/>
              </w:rPr>
              <w:t xml:space="preserve">Branche Laflame</w:t>
            </w:r>
          </w:p>
        </w:tc>
        <w:tc>
          <w:tcPr>
            <w:tcW w:type="dxa" w:w="6026"/>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Comparaison + App — notebook 03, app/, src/, models/comparison_results.csv</w:t>
            </w:r>
          </w:p>
        </w:tc>
      </w:tr>
    </w:tbl>
    <w:p>
      <w:pPr>
        <w:spacing w:after="0" w:before="80"/>
      </w:pPr>
      <w:r>
        <w:t xml:space="preserve"/>
      </w:r>
    </w:p>
    <w:p>
      <w:pPr>
        <w:spacing w:after="120" w:before="320"/>
      </w:pPr>
      <w:r>
        <w:rPr>
          <w:rFonts w:ascii="Arial" w:cs="Arial" w:eastAsia="Arial" w:hAnsi="Arial"/>
          <w:color w:val="c9a227"/>
          <w:sz w:val="28"/>
          <w:szCs w:val="28"/>
        </w:rPr>
        <w:t xml:space="preserve">▌ </w:t>
      </w:r>
      <w:r>
        <w:rPr>
          <w:rFonts w:ascii="Arial" w:cs="Arial" w:eastAsia="Arial" w:hAnsi="Arial"/>
          <w:b/>
          <w:bCs/>
          <w:color w:val="1a1a2e"/>
          <w:sz w:val="28"/>
          <w:szCs w:val="28"/>
        </w:rPr>
        <w:t xml:space="preserve">4.2 Lancement de l'application</w:t>
      </w:r>
    </w:p>
    <w:p>
      <w:pPr>
        <w:pBdr>
          <w:left w:val="single" w:color="c9a227" w:sz="12" w:space="8"/>
        </w:pBdr>
        <w:shd w:fill="F0F4F8" w:val="clear"/>
        <w:spacing w:after="180" w:before="180"/>
        <w:jc w:val="center"/>
      </w:pPr>
      <w:r>
        <w:rPr>
          <w:rFonts w:ascii="Courier New" w:cs="Courier New" w:eastAsia="Courier New" w:hAnsi="Courier New"/>
          <w:b/>
          <w:bCs/>
          <w:color w:val="1a1a2e"/>
          <w:sz w:val="22"/>
          <w:szCs w:val="22"/>
        </w:rPr>
        <w:t xml:space="preserve">git clone https://forge.univ-lyon1.fr/p2110892/tarification-iard.git</w:t>
      </w:r>
    </w:p>
    <w:p>
      <w:pPr>
        <w:pBdr>
          <w:left w:val="single" w:color="c9a227" w:sz="12" w:space="8"/>
        </w:pBdr>
        <w:shd w:fill="F0F4F8" w:val="clear"/>
        <w:spacing w:after="180" w:before="180"/>
        <w:jc w:val="center"/>
      </w:pPr>
      <w:r>
        <w:rPr>
          <w:rFonts w:ascii="Courier New" w:cs="Courier New" w:eastAsia="Courier New" w:hAnsi="Courier New"/>
          <w:b/>
          <w:bCs/>
          <w:color w:val="1a1a2e"/>
          <w:sz w:val="22"/>
          <w:szCs w:val="22"/>
        </w:rPr>
        <w:t xml:space="preserve">pip install -r requirements.txt</w:t>
      </w:r>
    </w:p>
    <w:p>
      <w:pPr>
        <w:pBdr>
          <w:left w:val="single" w:color="c9a227" w:sz="12" w:space="8"/>
        </w:pBdr>
        <w:shd w:fill="F0F4F8" w:val="clear"/>
        <w:spacing w:after="180" w:before="180"/>
        <w:jc w:val="center"/>
      </w:pPr>
      <w:r>
        <w:rPr>
          <w:rFonts w:ascii="Courier New" w:cs="Courier New" w:eastAsia="Courier New" w:hAnsi="Courier New"/>
          <w:b/>
          <w:bCs/>
          <w:color w:val="1a1a2e"/>
          <w:sz w:val="22"/>
          <w:szCs w:val="22"/>
        </w:rPr>
        <w:t xml:space="preserve">export GROQ_API_KEY='gsk_...'</w:t>
      </w:r>
    </w:p>
    <w:p>
      <w:pPr>
        <w:pBdr>
          <w:left w:val="single" w:color="c9a227" w:sz="12" w:space="8"/>
        </w:pBdr>
        <w:shd w:fill="F0F4F8" w:val="clear"/>
        <w:spacing w:after="180" w:before="180"/>
        <w:jc w:val="center"/>
      </w:pPr>
      <w:r>
        <w:rPr>
          <w:rFonts w:ascii="Courier New" w:cs="Courier New" w:eastAsia="Courier New" w:hAnsi="Courier New"/>
          <w:b/>
          <w:bCs/>
          <w:color w:val="1a1a2e"/>
          <w:sz w:val="22"/>
          <w:szCs w:val="22"/>
        </w:rPr>
        <w:t xml:space="preserve">streamlit run app/app.py</w:t>
      </w:r>
    </w:p>
    <w:p>
      <w:pPr>
        <w:spacing w:after="0" w:before="160"/>
      </w:pPr>
      <w:r>
        <w:t xml:space="preserve"/>
      </w:r>
    </w:p>
    <w:p>
      <w:pPr>
        <w:spacing w:after="120" w:before="320"/>
      </w:pPr>
      <w:r>
        <w:rPr>
          <w:rFonts w:ascii="Arial" w:cs="Arial" w:eastAsia="Arial" w:hAnsi="Arial"/>
          <w:color w:val="c9a227"/>
          <w:sz w:val="28"/>
          <w:szCs w:val="28"/>
        </w:rPr>
        <w:t xml:space="preserve">▌ </w:t>
      </w:r>
      <w:r>
        <w:rPr>
          <w:rFonts w:ascii="Arial" w:cs="Arial" w:eastAsia="Arial" w:hAnsi="Arial"/>
          <w:b/>
          <w:bCs/>
          <w:color w:val="1a1a2e"/>
          <w:sz w:val="28"/>
          <w:szCs w:val="28"/>
        </w:rPr>
        <w:t xml:space="preserve">4.3 Dépendances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1a1a2e"/>
                <w:sz w:val="20"/>
                <w:szCs w:val="20"/>
              </w:rPr>
              <w:t xml:space="preserve">statsmodels 0.14.6</w:t>
            </w:r>
          </w:p>
        </w:tc>
        <w:tc>
          <w:tcPr>
            <w:tcW w:type="dxa" w:w="6026"/>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GLM Poisson et Gamma</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bCs/>
                <w:color w:val="1a1a2e"/>
                <w:sz w:val="20"/>
                <w:szCs w:val="20"/>
              </w:rPr>
              <w:t xml:space="preserve">scikit-learn 1.8.0</w:t>
            </w:r>
          </w:p>
        </w:tc>
        <w:tc>
          <w:tcPr>
            <w:tcW w:type="dxa" w:w="6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TweedieRegressor, preprocessing</w:t>
            </w:r>
          </w:p>
        </w:tc>
      </w:tr>
      <w:tr>
        <w:tc>
          <w:tcPr>
            <w:tcW w:type="dxa" w:w="30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1a1a2e"/>
                <w:sz w:val="20"/>
                <w:szCs w:val="20"/>
              </w:rPr>
              <w:t xml:space="preserve">xgboost 2.x</w:t>
            </w:r>
          </w:p>
        </w:tc>
        <w:tc>
          <w:tcPr>
            <w:tcW w:type="dxa" w:w="6026"/>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Modèle XGBoost benchmark</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bCs/>
                <w:color w:val="1a1a2e"/>
                <w:sz w:val="20"/>
                <w:szCs w:val="20"/>
              </w:rPr>
              <w:t xml:space="preserve">streamlit 1.56.0</w:t>
            </w:r>
          </w:p>
        </w:tc>
        <w:tc>
          <w:tcPr>
            <w:tcW w:type="dxa" w:w="6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Interface web</w:t>
            </w:r>
          </w:p>
        </w:tc>
      </w:tr>
      <w:tr>
        <w:tc>
          <w:tcPr>
            <w:tcW w:type="dxa" w:w="30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1a1a2e"/>
                <w:sz w:val="20"/>
                <w:szCs w:val="20"/>
              </w:rPr>
              <w:t xml:space="preserve">groq</w:t>
            </w:r>
          </w:p>
        </w:tc>
        <w:tc>
          <w:tcPr>
            <w:tcW w:type="dxa" w:w="6026"/>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API LLM — llama-3.3-70b-versatile</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bCs/>
                <w:color w:val="1a1a2e"/>
                <w:sz w:val="20"/>
                <w:szCs w:val="20"/>
              </w:rPr>
              <w:t xml:space="preserve">plotly 6.7.0</w:t>
            </w:r>
          </w:p>
        </w:tc>
        <w:tc>
          <w:tcPr>
            <w:tcW w:type="dxa" w:w="6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Visualisations interactives</w:t>
            </w:r>
          </w:p>
        </w:tc>
      </w:tr>
      <w:tr>
        <w:tc>
          <w:tcPr>
            <w:tcW w:type="dxa" w:w="3000"/>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bCs/>
                <w:color w:val="1a1a2e"/>
                <w:sz w:val="20"/>
                <w:szCs w:val="20"/>
              </w:rPr>
              <w:t xml:space="preserve">pandas 3.0.2</w:t>
            </w:r>
          </w:p>
        </w:tc>
        <w:tc>
          <w:tcPr>
            <w:tcW w:type="dxa" w:w="6026"/>
            <w:tcBorders>
              <w:top w:val="single" w:color="DDDDDD" w:sz="1"/>
              <w:left w:val="single" w:color="DDDDDD" w:sz="1"/>
              <w:bottom w:val="single" w:color="DDDDDD" w:sz="1"/>
              <w:right w:val="single" w:color="DDDDDD" w:sz="1"/>
            </w:tcBorders>
            <w:shd w:fill="F7F9FC" w:val="clear"/>
            <w:tcMar>
              <w:top w:type="dxa" w:w="90"/>
              <w:left w:type="dxa" w:w="140"/>
              <w:bottom w:type="dxa" w:w="90"/>
              <w:right w:type="dxa" w:w="140"/>
            </w:tcMar>
          </w:tcPr>
          <w:p>
            <w:pPr>
              <w:jc w:val="left"/>
            </w:pPr>
            <w:r>
              <w:rPr>
                <w:rFonts w:ascii="Arial" w:cs="Arial" w:eastAsia="Arial" w:hAnsi="Arial"/>
                <w:b w:val="false"/>
                <w:bCs w:val="false"/>
                <w:color w:val="1a1a2e"/>
                <w:sz w:val="20"/>
                <w:szCs w:val="20"/>
              </w:rPr>
              <w:t xml:space="preserve">Manipulation des données</w:t>
            </w:r>
          </w:p>
        </w:tc>
      </w:tr>
    </w:tbl>
    <w:p>
      <w:r>
        <w:br w:type="page"/>
      </w:r>
    </w:p>
    <w:p>
      <w:pPr>
        <w:pBdr>
          <w:bottom w:val="single" w:color="c9a227" w:sz="8" w:space="6"/>
        </w:pBdr>
        <w:spacing w:after="160" w:before="480"/>
      </w:pPr>
      <w:r>
        <w:rPr>
          <w:rFonts w:ascii="Arial" w:cs="Arial" w:eastAsia="Arial" w:hAnsi="Arial"/>
          <w:b/>
          <w:bCs/>
          <w:color w:val="1a1a2e"/>
          <w:sz w:val="40"/>
          <w:szCs w:val="40"/>
        </w:rPr>
        <w:t xml:space="preserve">5. Conclusion</w:t>
      </w:r>
    </w:p>
    <w:p>
      <w:pPr>
        <w:spacing w:after="100" w:before="60"/>
      </w:pPr>
      <w:r>
        <w:rPr>
          <w:rFonts w:ascii="Arial" w:cs="Arial" w:eastAsia="Arial" w:hAnsi="Arial"/>
          <w:color w:val="222222"/>
          <w:sz w:val="21"/>
          <w:szCs w:val="21"/>
        </w:rPr>
        <w:t xml:space="preserve">Ce projet démontre qu'une approche actuarielle classique reste compétitive face aux méthodes de machine learning, tout en offrant des garanties d'interprétabilité et de conformité réglementaire essentielles en assurance.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BF3FB" w:val="clear"/>
            <w:tcMar>
              <w:top w:type="dxa" w:w="120"/>
              <w:left w:type="dxa" w:w="180"/>
              <w:bottom w:type="dxa" w:w="120"/>
              <w:right w:type="dxa" w:w="180"/>
            </w:tcMar>
          </w:tcPr>
          <w:p>
            <w:r>
              <w:rPr>
                <w:rFonts w:ascii="Arial" w:cs="Arial" w:eastAsia="Arial" w:hAnsi="Arial"/>
                <w:color w:val="1a4a7a"/>
                <w:sz w:val="20"/>
                <w:szCs w:val="20"/>
              </w:rPr>
              <w:t xml:space="preserve">Résultats clés — GLM Poisson × Gamma : Gini = 0.3342 | XGBoost : Gini = 0.3676 (+ 3.3 points) mais non conforme Solvabilité II sans outillage additionnel.</w:t>
            </w:r>
          </w:p>
        </w:tc>
      </w:tr>
    </w:tbl>
    <w:p>
      <w:pPr>
        <w:spacing w:after="0" w:before="80"/>
      </w:pPr>
      <w:r>
        <w:t xml:space="preserve"/>
      </w:r>
    </w:p>
    <w:p>
      <w:pPr>
        <w:spacing w:after="100" w:before="60"/>
      </w:pPr>
      <w:r>
        <w:rPr>
          <w:rFonts w:ascii="Arial" w:cs="Arial" w:eastAsia="Arial" w:hAnsi="Arial"/>
          <w:color w:val="222222"/>
          <w:sz w:val="21"/>
          <w:szCs w:val="21"/>
        </w:rPr>
        <w:t xml:space="preserve">Le Gini de 0.3342 obtenu par le GLM Poisson × Gamma est cohérent avec les valeurs rapportées dans la littérature actuarielle sur ce dataset (typiquement 0.28 à 0.40 selon les spécifications du modèle). L'écart avec XGBoost (+3.3 points) est réel mais ne justifie pas le coût opérationnel et réglementaire lié à son déploiement en production.</w:t>
      </w:r>
    </w:p>
    <w:p>
      <w:pPr>
        <w:spacing w:after="0" w:before="80"/>
      </w:pPr>
      <w:r>
        <w:t xml:space="preserve"/>
      </w:r>
    </w:p>
    <w:p>
      <w:pPr>
        <w:spacing w:after="120" w:before="320"/>
      </w:pPr>
      <w:r>
        <w:rPr>
          <w:rFonts w:ascii="Arial" w:cs="Arial" w:eastAsia="Arial" w:hAnsi="Arial"/>
          <w:color w:val="c9a227"/>
          <w:sz w:val="28"/>
          <w:szCs w:val="28"/>
        </w:rPr>
        <w:t xml:space="preserve">▌ </w:t>
      </w:r>
      <w:r>
        <w:rPr>
          <w:rFonts w:ascii="Arial" w:cs="Arial" w:eastAsia="Arial" w:hAnsi="Arial"/>
          <w:b/>
          <w:bCs/>
          <w:color w:val="1a1a2e"/>
          <w:sz w:val="28"/>
          <w:szCs w:val="28"/>
        </w:rPr>
        <w:t xml:space="preserve">Perspectives d'amélioration</w:t>
      </w:r>
    </w:p>
    <w:p>
      <w:pPr>
        <w:spacing w:after="60" w:before="60"/>
        <w:ind w:left="400" w:hanging="280"/>
      </w:pPr>
      <w:r>
        <w:rPr>
          <w:rFonts w:ascii="Arial" w:cs="Arial" w:eastAsia="Arial" w:hAnsi="Arial"/>
          <w:b/>
          <w:bCs/>
          <w:color w:val="c9a227"/>
          <w:sz w:val="21"/>
          <w:szCs w:val="21"/>
        </w:rPr>
        <w:t xml:space="preserve">● </w:t>
      </w:r>
      <w:r>
        <w:rPr>
          <w:rFonts w:ascii="Arial" w:cs="Arial" w:eastAsia="Arial" w:hAnsi="Arial"/>
          <w:b/>
          <w:bCs/>
          <w:color w:val="1a1a2e"/>
          <w:sz w:val="21"/>
          <w:szCs w:val="21"/>
        </w:rPr>
        <w:t xml:space="preserve"> : </w:t>
      </w:r>
      <w:r>
        <w:rPr>
          <w:rFonts w:ascii="Arial" w:cs="Arial" w:eastAsia="Arial" w:hAnsi="Arial"/>
          <w:color w:val="222222"/>
          <w:sz w:val="21"/>
          <w:szCs w:val="21"/>
        </w:rPr>
        <w:t xml:space="preserve">explicabilité d'XGBoost pour une éventuelle conformité réglementaire.</w:t>
      </w:r>
    </w:p>
    <w:p>
      <w:pPr>
        <w:spacing w:after="60" w:before="60"/>
        <w:ind w:left="400" w:hanging="280"/>
      </w:pPr>
      <w:r>
        <w:rPr>
          <w:rFonts w:ascii="Arial" w:cs="Arial" w:eastAsia="Arial" w:hAnsi="Arial"/>
          <w:b/>
          <w:bCs/>
          <w:color w:val="c9a227"/>
          <w:sz w:val="21"/>
          <w:szCs w:val="21"/>
        </w:rPr>
        <w:t xml:space="preserve">● </w:t>
      </w:r>
      <w:r>
        <w:rPr>
          <w:rFonts w:ascii="Arial" w:cs="Arial" w:eastAsia="Arial" w:hAnsi="Arial"/>
          <w:b/>
          <w:bCs/>
          <w:color w:val="1a1a2e"/>
          <w:sz w:val="21"/>
          <w:szCs w:val="21"/>
        </w:rPr>
        <w:t xml:space="preserve"> : </w:t>
      </w:r>
      <w:r>
        <w:rPr>
          <w:rFonts w:ascii="Arial" w:cs="Arial" w:eastAsia="Arial" w:hAnsi="Arial"/>
          <w:color w:val="222222"/>
          <w:sz w:val="21"/>
          <w:szCs w:val="21"/>
        </w:rPr>
        <w:t xml:space="preserve">affiner les estimations par segment de portefeuille.</w:t>
      </w:r>
    </w:p>
    <w:p>
      <w:pPr>
        <w:spacing w:after="60" w:before="60"/>
        <w:ind w:left="400" w:hanging="280"/>
      </w:pPr>
      <w:r>
        <w:rPr>
          <w:rFonts w:ascii="Arial" w:cs="Arial" w:eastAsia="Arial" w:hAnsi="Arial"/>
          <w:b/>
          <w:bCs/>
          <w:color w:val="c9a227"/>
          <w:sz w:val="21"/>
          <w:szCs w:val="21"/>
        </w:rPr>
        <w:t xml:space="preserve">● </w:t>
      </w:r>
      <w:r>
        <w:rPr>
          <w:rFonts w:ascii="Arial" w:cs="Arial" w:eastAsia="Arial" w:hAnsi="Arial"/>
          <w:b/>
          <w:bCs/>
          <w:color w:val="1a1a2e"/>
          <w:sz w:val="21"/>
          <w:szCs w:val="21"/>
        </w:rPr>
        <w:t xml:space="preserve"> : </w:t>
      </w:r>
      <w:r>
        <w:rPr>
          <w:rFonts w:ascii="Arial" w:cs="Arial" w:eastAsia="Arial" w:hAnsi="Arial"/>
          <w:color w:val="222222"/>
          <w:sz w:val="21"/>
          <w:szCs w:val="21"/>
        </w:rPr>
        <w:t xml:space="preserve">gérer la surdispersion identifiée dans le GLM Poisson (perspective ouverte par Marion).</w:t>
      </w:r>
    </w:p>
    <w:p>
      <w:pPr>
        <w:spacing w:after="60" w:before="60"/>
        <w:ind w:left="400" w:hanging="280"/>
      </w:pPr>
      <w:r>
        <w:rPr>
          <w:rFonts w:ascii="Arial" w:cs="Arial" w:eastAsia="Arial" w:hAnsi="Arial"/>
          <w:b/>
          <w:bCs/>
          <w:color w:val="c9a227"/>
          <w:sz w:val="21"/>
          <w:szCs w:val="21"/>
        </w:rPr>
        <w:t xml:space="preserve">● </w:t>
      </w:r>
      <w:r>
        <w:rPr>
          <w:rFonts w:ascii="Arial" w:cs="Arial" w:eastAsia="Arial" w:hAnsi="Arial"/>
          <w:b/>
          <w:bCs/>
          <w:color w:val="1a1a2e"/>
          <w:sz w:val="21"/>
          <w:szCs w:val="21"/>
        </w:rPr>
        <w:t xml:space="preserve"> : </w:t>
      </w:r>
      <w:r>
        <w:rPr>
          <w:rFonts w:ascii="Arial" w:cs="Arial" w:eastAsia="Arial" w:hAnsi="Arial"/>
          <w:color w:val="222222"/>
          <w:sz w:val="21"/>
          <w:szCs w:val="21"/>
        </w:rPr>
        <w:t xml:space="preserve">mise en ligne publique de l'application.</w:t>
      </w:r>
    </w:p>
    <w:p>
      <w:pPr>
        <w:spacing w:after="60" w:before="60"/>
        <w:ind w:left="400" w:hanging="280"/>
      </w:pPr>
      <w:r>
        <w:rPr>
          <w:rFonts w:ascii="Arial" w:cs="Arial" w:eastAsia="Arial" w:hAnsi="Arial"/>
          <w:b/>
          <w:bCs/>
          <w:color w:val="c9a227"/>
          <w:sz w:val="21"/>
          <w:szCs w:val="21"/>
        </w:rPr>
        <w:t xml:space="preserve">● </w:t>
      </w:r>
      <w:r>
        <w:rPr>
          <w:rFonts w:ascii="Arial" w:cs="Arial" w:eastAsia="Arial" w:hAnsi="Arial"/>
          <w:b/>
          <w:bCs/>
          <w:color w:val="1a1a2e"/>
          <w:sz w:val="21"/>
          <w:szCs w:val="21"/>
        </w:rPr>
        <w:t xml:space="preserve"> : </w:t>
      </w:r>
      <w:r>
        <w:rPr>
          <w:rFonts w:ascii="Arial" w:cs="Arial" w:eastAsia="Arial" w:hAnsi="Arial"/>
          <w:color w:val="222222"/>
          <w:sz w:val="21"/>
          <w:szCs w:val="21"/>
        </w:rPr>
        <w:t xml:space="preserve">affichage côte à côte de deux assurés dans l'interface.</w:t>
      </w:r>
    </w:p>
    <w:p>
      <w:pPr>
        <w:spacing w:after="0" w:before="160"/>
      </w:pPr>
      <w:r>
        <w:t xml:space="preserve"/>
      </w:r>
    </w:p>
    <w:p>
      <w:pPr>
        <w:jc w:val="right"/>
      </w:pPr>
      <w:r>
        <w:rPr>
          <w:rFonts w:ascii="Arial" w:cs="Arial" w:eastAsia="Arial" w:hAnsi="Arial"/>
          <w:color w:val="666666"/>
          <w:sz w:val="19"/>
          <w:szCs w:val="19"/>
        </w:rPr>
        <w:t xml:space="preserve">Cheikhna — MAM 4A — Polytech Lyon — 2025-2026</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4"/>
      </w:pBdr>
      <w:tabs>
        <w:tab w:val="right" w:pos="9026"/>
      </w:tabs>
    </w:pPr>
    <w:r>
      <w:rPr>
        <w:rFonts w:ascii="Arial" w:cs="Arial" w:eastAsia="Arial" w:hAnsi="Arial"/>
        <w:color w:val="666666"/>
        <w:sz w:val="18"/>
        <w:szCs w:val="18"/>
      </w:rPr>
      <w:t xml:space="preserve">Cheikhna — 2025-2026</w:t>
    </w:r>
    <w:r>
      <w:rPr>
        <w:rFonts w:ascii="Arial" w:cs="Arial" w:eastAsia="Arial" w:hAnsi="Arial"/>
        <w:sz w:val="18"/>
        <w:szCs w:val="18"/>
      </w:rPr>
      <w:t xml:space="preserve">	</w:t>
    </w:r>
    <w:r>
      <w:rPr>
        <w:rFonts w:ascii="Arial" w:cs="Arial" w:eastAsia="Arial" w:hAnsi="Arial"/>
        <w:color w:val="666666"/>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4"/>
      </w:pBdr>
    </w:pPr>
    <w:r>
      <w:rPr>
        <w:rFonts w:ascii="Arial" w:cs="Arial" w:eastAsia="Arial" w:hAnsi="Arial"/>
        <w:color w:val="666666"/>
        <w:sz w:val="18"/>
        <w:szCs w:val="18"/>
      </w:rPr>
      <w:t xml:space="preserve">Tarification IARD — MAM 4A — Polytech Lyon</w:t>
    </w:r>
    <w:r>
      <w:rPr>
        <w:rFonts w:ascii="Arial" w:cs="Arial" w:eastAsia="Arial" w:hAnsi="Arial"/>
        <w:color w:val="666666"/>
        <w:sz w:val="18"/>
        <w:szCs w:val="18"/>
      </w:rPr>
      <w:t xml:space="preserve">    |    Partie III : Comparaison des modèles &amp; Application Streamlit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d6a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2026-06-04T21:17:08.086Z</dcterms:created>
  <dcterms:modified xsi:type="dcterms:W3CDTF">2026-06-04T21:17:08.100Z</dcterms:modified>
</cp:coreProperties>
</file>

<file path=docProps/custom.xml><?xml version="1.0" encoding="utf-8"?>
<Properties xmlns="http://schemas.openxmlformats.org/officeDocument/2006/custom-properties" xmlns:vt="http://schemas.openxmlformats.org/officeDocument/2006/docPropsVTypes"/>
</file>