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C0DC" w14:textId="06409B6E" w:rsidR="00F4617C" w:rsidRPr="003F7D4D" w:rsidRDefault="00F4617C" w:rsidP="008644F0">
      <w:pPr>
        <w:jc w:val="both"/>
        <w:rPr>
          <w:rFonts w:ascii="Calibri" w:hAnsi="Calibri" w:cs="Calibri"/>
          <w:b/>
          <w:sz w:val="22"/>
          <w:szCs w:val="22"/>
          <w:u w:val="single"/>
        </w:rPr>
      </w:pPr>
    </w:p>
    <w:p w14:paraId="6FBBC918" w14:textId="56402478" w:rsidR="00AB3EED" w:rsidRPr="003C63E0" w:rsidRDefault="003C63E0" w:rsidP="00A5239E">
      <w:pPr>
        <w:spacing w:before="88"/>
        <w:jc w:val="right"/>
        <w:rPr>
          <w:rFonts w:asciiTheme="minorHAnsi" w:hAnsiTheme="minorHAnsi" w:cstheme="minorHAnsi"/>
          <w:bCs/>
          <w:lang w:val="es-ES"/>
        </w:rPr>
      </w:pPr>
      <w:r w:rsidRPr="003C63E0">
        <w:rPr>
          <w:rFonts w:asciiTheme="minorHAnsi" w:hAnsiTheme="minorHAnsi" w:cstheme="minorHAnsi"/>
          <w:bCs/>
          <w:sz w:val="22"/>
          <w:lang w:val="es-ES"/>
        </w:rPr>
        <w:t>Proceso de selección</w:t>
      </w:r>
      <w:r w:rsidR="00AB3EED" w:rsidRPr="003C63E0">
        <w:rPr>
          <w:rFonts w:asciiTheme="minorHAnsi" w:hAnsiTheme="minorHAnsi" w:cstheme="minorHAnsi"/>
          <w:bCs/>
          <w:spacing w:val="-10"/>
          <w:sz w:val="22"/>
          <w:lang w:val="es-ES"/>
        </w:rPr>
        <w:t xml:space="preserve"> </w:t>
      </w:r>
      <w:r w:rsidR="00AB3EED" w:rsidRPr="003C63E0">
        <w:rPr>
          <w:rFonts w:asciiTheme="minorHAnsi" w:hAnsiTheme="minorHAnsi" w:cstheme="minorHAnsi"/>
          <w:bCs/>
          <w:sz w:val="22"/>
          <w:lang w:val="es-ES"/>
        </w:rPr>
        <w:t>#RG-T</w:t>
      </w:r>
      <w:r w:rsidR="000058C3" w:rsidRPr="003C63E0">
        <w:rPr>
          <w:rFonts w:asciiTheme="minorHAnsi" w:hAnsiTheme="minorHAnsi" w:cstheme="minorHAnsi"/>
          <w:bCs/>
          <w:sz w:val="22"/>
          <w:lang w:val="es-ES"/>
        </w:rPr>
        <w:t>4097</w:t>
      </w:r>
      <w:r w:rsidR="00AB3EED" w:rsidRPr="003C63E0">
        <w:rPr>
          <w:rFonts w:asciiTheme="minorHAnsi" w:hAnsiTheme="minorHAnsi" w:cstheme="minorHAnsi"/>
          <w:bCs/>
          <w:sz w:val="22"/>
          <w:lang w:val="es-ES"/>
        </w:rPr>
        <w:t>-</w:t>
      </w:r>
      <w:r w:rsidR="00AB3EED" w:rsidRPr="003C63E0">
        <w:rPr>
          <w:rFonts w:asciiTheme="minorHAnsi" w:hAnsiTheme="minorHAnsi" w:cstheme="minorHAnsi"/>
          <w:bCs/>
          <w:spacing w:val="-4"/>
          <w:sz w:val="22"/>
          <w:lang w:val="es-ES"/>
        </w:rPr>
        <w:t>P</w:t>
      </w:r>
      <w:r w:rsidR="00A5239E" w:rsidRPr="003C63E0">
        <w:rPr>
          <w:rFonts w:asciiTheme="minorHAnsi" w:hAnsiTheme="minorHAnsi" w:cstheme="minorHAnsi"/>
          <w:bCs/>
          <w:spacing w:val="-4"/>
          <w:sz w:val="22"/>
          <w:lang w:val="es-ES"/>
        </w:rPr>
        <w:t>XXX</w:t>
      </w:r>
    </w:p>
    <w:p w14:paraId="121E7E01" w14:textId="77777777" w:rsidR="00AB3EED" w:rsidRPr="003C63E0" w:rsidRDefault="00AB3EED" w:rsidP="00AB3EED">
      <w:pPr>
        <w:pStyle w:val="Textoindependiente"/>
        <w:spacing w:before="5"/>
        <w:rPr>
          <w:rFonts w:asciiTheme="minorHAnsi" w:hAnsiTheme="minorHAnsi" w:cstheme="minorHAnsi"/>
          <w:b/>
          <w:sz w:val="17"/>
          <w:lang w:val="es-ES"/>
        </w:rPr>
      </w:pPr>
    </w:p>
    <w:p w14:paraId="36D4AF93" w14:textId="51961C95" w:rsidR="00AB3EED" w:rsidRPr="002D3567" w:rsidRDefault="000F7796" w:rsidP="00AB3EED">
      <w:pPr>
        <w:spacing w:before="56"/>
        <w:ind w:left="1796" w:right="1795"/>
        <w:jc w:val="center"/>
        <w:rPr>
          <w:rFonts w:asciiTheme="minorHAnsi" w:hAnsiTheme="minorHAnsi" w:cstheme="minorHAnsi"/>
          <w:b/>
        </w:rPr>
      </w:pPr>
      <w:r>
        <w:rPr>
          <w:rFonts w:asciiTheme="minorHAnsi" w:hAnsiTheme="minorHAnsi" w:cstheme="minorHAnsi"/>
          <w:b/>
          <w:sz w:val="22"/>
          <w:u w:val="single"/>
        </w:rPr>
        <w:t>TERMINOS DE REFERENCIA</w:t>
      </w:r>
    </w:p>
    <w:p w14:paraId="1860719F" w14:textId="77777777" w:rsidR="00AB3EED" w:rsidRPr="002D3567" w:rsidRDefault="00AB3EED" w:rsidP="00AB3EED">
      <w:pPr>
        <w:pStyle w:val="Textoindependiente"/>
        <w:spacing w:before="3"/>
        <w:rPr>
          <w:rFonts w:asciiTheme="minorHAnsi" w:hAnsiTheme="minorHAnsi" w:cstheme="minorHAnsi"/>
          <w:b/>
          <w:sz w:val="17"/>
        </w:rPr>
      </w:pPr>
    </w:p>
    <w:p w14:paraId="48E4C236" w14:textId="623B6997" w:rsidR="002D3567" w:rsidRDefault="003C63E0" w:rsidP="003C63E0">
      <w:pPr>
        <w:jc w:val="center"/>
        <w:rPr>
          <w:rFonts w:asciiTheme="minorHAnsi" w:hAnsiTheme="minorHAnsi" w:cstheme="minorHAnsi"/>
          <w:b/>
          <w:sz w:val="22"/>
          <w:lang w:val="es-ES"/>
        </w:rPr>
      </w:pPr>
      <w:r w:rsidRPr="003C63E0">
        <w:rPr>
          <w:rFonts w:asciiTheme="minorHAnsi" w:hAnsiTheme="minorHAnsi" w:cstheme="minorHAnsi"/>
          <w:b/>
          <w:sz w:val="22"/>
          <w:lang w:val="es-ES"/>
        </w:rPr>
        <w:t>Análisis regional prospectivo sobre los objetivos de RELAC para aumentar la ambición climática en el sector energético de América Latina y el Caribe</w:t>
      </w:r>
    </w:p>
    <w:p w14:paraId="102317E6" w14:textId="77777777" w:rsidR="003C63E0" w:rsidRPr="003C63E0" w:rsidRDefault="003C63E0" w:rsidP="002D3567">
      <w:pPr>
        <w:rPr>
          <w:rFonts w:asciiTheme="minorHAnsi" w:hAnsiTheme="minorHAnsi" w:cstheme="minorHAnsi"/>
          <w:b/>
          <w:spacing w:val="-2"/>
          <w:sz w:val="22"/>
          <w:lang w:val="es-ES"/>
        </w:rPr>
      </w:pPr>
    </w:p>
    <w:p w14:paraId="6E8AF9B6" w14:textId="70023B59" w:rsidR="00AB3EED" w:rsidRPr="00FF2D7C" w:rsidRDefault="00AB3EED" w:rsidP="00FF2D7C">
      <w:pPr>
        <w:rPr>
          <w:rFonts w:asciiTheme="minorHAnsi" w:hAnsiTheme="minorHAnsi" w:cstheme="minorHAnsi"/>
          <w:bCs/>
          <w:lang w:val="de-DE"/>
        </w:rPr>
      </w:pPr>
      <w:r w:rsidRPr="002D3567">
        <w:rPr>
          <w:rFonts w:asciiTheme="minorHAnsi" w:hAnsiTheme="minorHAnsi" w:cstheme="minorHAnsi"/>
          <w:bCs/>
          <w:spacing w:val="-2"/>
          <w:sz w:val="22"/>
          <w:lang w:val="de-DE"/>
        </w:rPr>
        <w:t>Regional RG-</w:t>
      </w:r>
      <w:r w:rsidR="00B271D7" w:rsidRPr="002D3567">
        <w:rPr>
          <w:rFonts w:asciiTheme="minorHAnsi" w:hAnsiTheme="minorHAnsi" w:cstheme="minorHAnsi"/>
          <w:bCs/>
          <w:spacing w:val="-2"/>
          <w:sz w:val="22"/>
          <w:lang w:val="de-DE"/>
        </w:rPr>
        <w:t xml:space="preserve"> T</w:t>
      </w:r>
      <w:r w:rsidR="000058C3">
        <w:rPr>
          <w:rFonts w:asciiTheme="minorHAnsi" w:hAnsiTheme="minorHAnsi" w:cstheme="minorHAnsi"/>
          <w:bCs/>
          <w:spacing w:val="-2"/>
          <w:sz w:val="22"/>
          <w:lang w:val="de-DE"/>
        </w:rPr>
        <w:t>4097</w:t>
      </w:r>
      <w:r w:rsidR="00B271D7" w:rsidRPr="002D3567">
        <w:rPr>
          <w:rFonts w:asciiTheme="minorHAnsi" w:hAnsiTheme="minorHAnsi" w:cstheme="minorHAnsi"/>
          <w:bCs/>
          <w:spacing w:val="-2"/>
          <w:sz w:val="22"/>
          <w:lang w:val="de-DE"/>
        </w:rPr>
        <w:t xml:space="preserve"> ATN/</w:t>
      </w:r>
      <w:r w:rsidR="00A4294A">
        <w:rPr>
          <w:rFonts w:asciiTheme="minorHAnsi" w:hAnsiTheme="minorHAnsi" w:cstheme="minorHAnsi"/>
          <w:bCs/>
          <w:spacing w:val="-2"/>
          <w:sz w:val="22"/>
          <w:lang w:val="de-DE"/>
        </w:rPr>
        <w:t>LE</w:t>
      </w:r>
      <w:r w:rsidR="00B271D7" w:rsidRPr="002D3567">
        <w:rPr>
          <w:rFonts w:asciiTheme="minorHAnsi" w:hAnsiTheme="minorHAnsi" w:cstheme="minorHAnsi"/>
          <w:bCs/>
          <w:spacing w:val="-2"/>
          <w:sz w:val="22"/>
          <w:lang w:val="de-DE"/>
        </w:rPr>
        <w:t>-1</w:t>
      </w:r>
      <w:r w:rsidR="00A4294A">
        <w:rPr>
          <w:rFonts w:asciiTheme="minorHAnsi" w:hAnsiTheme="minorHAnsi" w:cstheme="minorHAnsi"/>
          <w:bCs/>
          <w:spacing w:val="-2"/>
          <w:sz w:val="22"/>
          <w:lang w:val="de-DE"/>
        </w:rPr>
        <w:t>9664</w:t>
      </w:r>
      <w:r w:rsidR="00B271D7" w:rsidRPr="002D3567">
        <w:rPr>
          <w:rFonts w:asciiTheme="minorHAnsi" w:hAnsiTheme="minorHAnsi" w:cstheme="minorHAnsi"/>
          <w:bCs/>
          <w:spacing w:val="-2"/>
          <w:sz w:val="22"/>
          <w:lang w:val="de-DE"/>
        </w:rPr>
        <w:t>-</w:t>
      </w:r>
      <w:r w:rsidR="00B271D7" w:rsidRPr="002D3567">
        <w:rPr>
          <w:rFonts w:asciiTheme="minorHAnsi" w:hAnsiTheme="minorHAnsi" w:cstheme="minorHAnsi"/>
          <w:bCs/>
          <w:spacing w:val="-5"/>
          <w:sz w:val="22"/>
          <w:lang w:val="de-DE"/>
        </w:rPr>
        <w:t>RG</w:t>
      </w:r>
    </w:p>
    <w:p w14:paraId="66591634" w14:textId="72EE0C8D" w:rsidR="00A27784" w:rsidRPr="002D3567" w:rsidRDefault="00A27784" w:rsidP="008644F0">
      <w:pPr>
        <w:tabs>
          <w:tab w:val="left" w:pos="7080"/>
        </w:tabs>
        <w:jc w:val="both"/>
        <w:rPr>
          <w:rFonts w:ascii="Calibri" w:hAnsi="Calibri" w:cs="Calibri"/>
          <w:sz w:val="22"/>
          <w:szCs w:val="22"/>
          <w:lang w:val="de-DE"/>
        </w:rPr>
      </w:pPr>
    </w:p>
    <w:p w14:paraId="66591638" w14:textId="2BD726AC" w:rsidR="00A27784" w:rsidRPr="003F7D4D" w:rsidRDefault="000F7796" w:rsidP="00C132A0">
      <w:pPr>
        <w:widowControl w:val="0"/>
        <w:numPr>
          <w:ilvl w:val="0"/>
          <w:numId w:val="1"/>
        </w:numPr>
        <w:spacing w:after="200" w:line="276" w:lineRule="auto"/>
        <w:contextualSpacing/>
        <w:rPr>
          <w:rFonts w:ascii="Calibri" w:eastAsiaTheme="minorHAnsi" w:hAnsi="Calibri" w:cs="Calibri"/>
          <w:b/>
          <w:sz w:val="22"/>
          <w:szCs w:val="22"/>
          <w:u w:val="single"/>
        </w:rPr>
      </w:pPr>
      <w:proofErr w:type="spellStart"/>
      <w:r>
        <w:rPr>
          <w:rFonts w:ascii="Calibri" w:eastAsiaTheme="minorHAnsi" w:hAnsi="Calibri" w:cs="Calibri"/>
          <w:b/>
          <w:sz w:val="22"/>
          <w:szCs w:val="22"/>
          <w:u w:val="single"/>
        </w:rPr>
        <w:t>Contexto</w:t>
      </w:r>
      <w:proofErr w:type="spellEnd"/>
      <w:r>
        <w:rPr>
          <w:rFonts w:ascii="Calibri" w:eastAsiaTheme="minorHAnsi" w:hAnsi="Calibri" w:cs="Calibri"/>
          <w:b/>
          <w:sz w:val="22"/>
          <w:szCs w:val="22"/>
          <w:u w:val="single"/>
        </w:rPr>
        <w:t xml:space="preserve"> y </w:t>
      </w:r>
      <w:proofErr w:type="spellStart"/>
      <w:r>
        <w:rPr>
          <w:rFonts w:ascii="Calibri" w:eastAsiaTheme="minorHAnsi" w:hAnsi="Calibri" w:cs="Calibri"/>
          <w:b/>
          <w:sz w:val="22"/>
          <w:szCs w:val="22"/>
          <w:u w:val="single"/>
        </w:rPr>
        <w:t>justificación</w:t>
      </w:r>
      <w:proofErr w:type="spellEnd"/>
    </w:p>
    <w:p w14:paraId="1DED979C" w14:textId="77777777" w:rsidR="003C4E12" w:rsidRDefault="003C4E12" w:rsidP="00C132A0">
      <w:pPr>
        <w:contextualSpacing/>
        <w:jc w:val="both"/>
        <w:rPr>
          <w:rFonts w:ascii="Calibri" w:eastAsiaTheme="minorHAnsi" w:hAnsi="Calibri" w:cs="Calibri"/>
          <w:sz w:val="22"/>
          <w:szCs w:val="22"/>
        </w:rPr>
      </w:pPr>
    </w:p>
    <w:p w14:paraId="41AFEC1D" w14:textId="3E204B8B" w:rsidR="003C4E12" w:rsidRPr="0040254E" w:rsidRDefault="0040254E" w:rsidP="00A95420">
      <w:pPr>
        <w:spacing w:line="276" w:lineRule="auto"/>
        <w:contextualSpacing/>
        <w:jc w:val="both"/>
        <w:rPr>
          <w:rFonts w:asciiTheme="minorHAnsi" w:eastAsiaTheme="minorHAnsi" w:hAnsiTheme="minorHAnsi" w:cstheme="minorHAnsi"/>
          <w:sz w:val="22"/>
          <w:szCs w:val="22"/>
          <w:lang w:val="es-ES"/>
        </w:rPr>
      </w:pPr>
      <w:r w:rsidRPr="0040254E">
        <w:rPr>
          <w:rFonts w:asciiTheme="minorHAnsi" w:eastAsiaTheme="minorHAnsi" w:hAnsiTheme="minorHAnsi" w:cstheme="minorHAnsi"/>
          <w:sz w:val="22"/>
          <w:szCs w:val="22"/>
          <w:lang w:val="es-ES"/>
        </w:rPr>
        <w:t xml:space="preserve">La División de Energía (INE/ENE) del Banco Interamericano de Desarrollo (BID) es una división </w:t>
      </w:r>
      <w:r>
        <w:rPr>
          <w:rFonts w:asciiTheme="minorHAnsi" w:eastAsiaTheme="minorHAnsi" w:hAnsiTheme="minorHAnsi" w:cstheme="minorHAnsi"/>
          <w:sz w:val="22"/>
          <w:szCs w:val="22"/>
          <w:lang w:val="es-ES"/>
        </w:rPr>
        <w:t>operacional</w:t>
      </w:r>
      <w:r w:rsidRPr="0040254E">
        <w:rPr>
          <w:rFonts w:asciiTheme="minorHAnsi" w:eastAsiaTheme="minorHAnsi" w:hAnsiTheme="minorHAnsi" w:cstheme="minorHAnsi"/>
          <w:sz w:val="22"/>
          <w:szCs w:val="22"/>
          <w:lang w:val="es-ES"/>
        </w:rPr>
        <w:t xml:space="preserve"> del Sector de Infraestructura y Energía (INE/INE), bajo la Vicepresidencia de Sectores y Conocimiento (VPS/VPS), que apoya y desarrolla el conocimiento en el sector energético en América Latina y el Caribe (ALC). INE/ENE es responsable del desarrollo de análisis técnicos, identificación y preparación de programas, proyectos, cooperación técnica, estudios y notas sectoriales en el sector energético</w:t>
      </w:r>
      <w:r w:rsidR="003C4E12" w:rsidRPr="0040254E">
        <w:rPr>
          <w:rFonts w:asciiTheme="minorHAnsi" w:eastAsiaTheme="minorHAnsi" w:hAnsiTheme="minorHAnsi" w:cstheme="minorHAnsi"/>
          <w:sz w:val="22"/>
          <w:szCs w:val="22"/>
          <w:lang w:val="es-ES"/>
        </w:rPr>
        <w:t xml:space="preserve">. </w:t>
      </w:r>
    </w:p>
    <w:p w14:paraId="53277776" w14:textId="77777777" w:rsidR="00A4294A" w:rsidRPr="0040254E" w:rsidRDefault="00A4294A" w:rsidP="00A95420">
      <w:pPr>
        <w:spacing w:line="276" w:lineRule="auto"/>
        <w:contextualSpacing/>
        <w:jc w:val="both"/>
        <w:rPr>
          <w:rFonts w:asciiTheme="minorHAnsi" w:eastAsiaTheme="minorHAnsi" w:hAnsiTheme="minorHAnsi" w:cstheme="minorHAnsi"/>
          <w:sz w:val="22"/>
          <w:szCs w:val="22"/>
          <w:lang w:val="es-ES"/>
        </w:rPr>
      </w:pPr>
    </w:p>
    <w:p w14:paraId="30E5A35C" w14:textId="0F6AB0A1" w:rsidR="00C132A0" w:rsidRPr="005A1508" w:rsidRDefault="005A1508" w:rsidP="00A95420">
      <w:pPr>
        <w:spacing w:line="276" w:lineRule="auto"/>
        <w:contextualSpacing/>
        <w:jc w:val="both"/>
        <w:rPr>
          <w:rFonts w:asciiTheme="minorHAnsi" w:eastAsiaTheme="minorHAnsi" w:hAnsiTheme="minorHAnsi" w:cstheme="minorHAnsi"/>
          <w:sz w:val="22"/>
          <w:szCs w:val="22"/>
          <w:lang w:val="es-ES"/>
        </w:rPr>
      </w:pPr>
      <w:r w:rsidRPr="005A1508">
        <w:rPr>
          <w:rFonts w:asciiTheme="minorHAnsi" w:eastAsiaTheme="minorHAnsi" w:hAnsiTheme="minorHAnsi" w:cstheme="minorHAnsi"/>
          <w:sz w:val="22"/>
          <w:szCs w:val="22"/>
          <w:lang w:val="es-ES"/>
        </w:rPr>
        <w:t xml:space="preserve">La iniciativa Renovables en América Latina y el Caribe (RELAC) fue creada en 2019 en el marco de la Cumbre de Acción Climática del </w:t>
      </w:r>
      <w:proofErr w:type="gramStart"/>
      <w:r w:rsidRPr="005A1508">
        <w:rPr>
          <w:rFonts w:asciiTheme="minorHAnsi" w:eastAsiaTheme="minorHAnsi" w:hAnsiTheme="minorHAnsi" w:cstheme="minorHAnsi"/>
          <w:sz w:val="22"/>
          <w:szCs w:val="22"/>
          <w:lang w:val="es-ES"/>
        </w:rPr>
        <w:t>Secretario General</w:t>
      </w:r>
      <w:proofErr w:type="gramEnd"/>
      <w:r w:rsidRPr="005A1508">
        <w:rPr>
          <w:rFonts w:asciiTheme="minorHAnsi" w:eastAsiaTheme="minorHAnsi" w:hAnsiTheme="minorHAnsi" w:cstheme="minorHAnsi"/>
          <w:sz w:val="22"/>
          <w:szCs w:val="22"/>
          <w:lang w:val="es-ES"/>
        </w:rPr>
        <w:t xml:space="preserve"> de las Naciones Unidas (ONU) y representa un aumento de la ambición climática al alinear el crecimiento económico y la reducción de emisiones de gases de efecto invernadero en el sector energético. El objetivo principal de la iniciativa es alcanzar una meta regional de al menos 70% de participación de fuentes de energía renovable (ER) en la matriz eléctrica de ALC para 2030. Los países miembros han designado a dos presidentes </w:t>
      </w:r>
      <w:proofErr w:type="spellStart"/>
      <w:r w:rsidRPr="005A1508">
        <w:rPr>
          <w:rFonts w:asciiTheme="minorHAnsi" w:eastAsiaTheme="minorHAnsi" w:hAnsiTheme="minorHAnsi" w:cstheme="minorHAnsi"/>
          <w:sz w:val="22"/>
          <w:szCs w:val="22"/>
          <w:lang w:val="es-ES"/>
        </w:rPr>
        <w:t>pro-tempore</w:t>
      </w:r>
      <w:proofErr w:type="spellEnd"/>
      <w:r w:rsidRPr="005A1508">
        <w:rPr>
          <w:rFonts w:asciiTheme="minorHAnsi" w:eastAsiaTheme="minorHAnsi" w:hAnsiTheme="minorHAnsi" w:cstheme="minorHAnsi"/>
          <w:sz w:val="22"/>
          <w:szCs w:val="22"/>
          <w:lang w:val="es-ES"/>
        </w:rPr>
        <w:t xml:space="preserve"> para liderar la acción principal durante periodos de 12 meses. El BID recibió el mandato de actuar como Secretaría Técnica de la iniciativa RELAC, que también reúne a varios organismos internacionales que apoyan la transición energética en la región, tales como: OLADE (a cargo del monitoreo de indicadores), IRENA, IEA, GEAPP, GIZ, JICA, NREL, WWF, UN Energy, LEDS LAC y otros. Uno de los principales objetivos de la iniciativa es establecer una plataforma de acción climática para el sector energético en la región y analizar y promover la contribución del sector energético a las vías de descarbonización de toda la economía, a medida que la electrificación de los sectores de uso final, como el transporte, la industria, los edificios, etc., se hace más competitiva y técnica y económicamente viable</w:t>
      </w:r>
      <w:r w:rsidR="00596C97" w:rsidRPr="005A1508">
        <w:rPr>
          <w:rFonts w:asciiTheme="minorHAnsi" w:eastAsiaTheme="minorHAnsi" w:hAnsiTheme="minorHAnsi" w:cstheme="minorHAnsi"/>
          <w:sz w:val="22"/>
          <w:szCs w:val="22"/>
          <w:lang w:val="es-ES"/>
        </w:rPr>
        <w:t>.</w:t>
      </w:r>
    </w:p>
    <w:p w14:paraId="4036EFFE" w14:textId="77777777" w:rsidR="00536778" w:rsidRPr="005A1508" w:rsidRDefault="00536778" w:rsidP="00A95420">
      <w:pPr>
        <w:spacing w:line="276" w:lineRule="auto"/>
        <w:contextualSpacing/>
        <w:jc w:val="both"/>
        <w:rPr>
          <w:rFonts w:asciiTheme="minorHAnsi" w:eastAsiaTheme="minorHAnsi" w:hAnsiTheme="minorHAnsi" w:cstheme="minorHAnsi"/>
          <w:sz w:val="22"/>
          <w:szCs w:val="22"/>
          <w:lang w:val="es-ES"/>
        </w:rPr>
      </w:pPr>
    </w:p>
    <w:p w14:paraId="5093A783" w14:textId="6F563FBE" w:rsidR="002D194E" w:rsidRDefault="002D194E" w:rsidP="0061546E">
      <w:pPr>
        <w:spacing w:line="276" w:lineRule="auto"/>
        <w:contextualSpacing/>
        <w:jc w:val="both"/>
        <w:rPr>
          <w:rFonts w:asciiTheme="minorHAnsi" w:eastAsiaTheme="minorHAnsi" w:hAnsiTheme="minorHAnsi" w:cstheme="minorHAnsi"/>
          <w:sz w:val="22"/>
          <w:szCs w:val="22"/>
        </w:rPr>
      </w:pPr>
      <w:r w:rsidRPr="002D194E">
        <w:rPr>
          <w:rFonts w:asciiTheme="minorHAnsi" w:eastAsiaTheme="minorHAnsi" w:hAnsiTheme="minorHAnsi" w:cstheme="minorHAnsi"/>
          <w:sz w:val="22"/>
          <w:szCs w:val="22"/>
          <w:lang w:val="es-ES"/>
        </w:rPr>
        <w:t xml:space="preserve">América Latina y el Caribe ha logrado una matriz eléctrica con un nivel relativamente alto de participación de las energías renovables en los sistemas eléctricos, aunque con diferencias significativas a nivel subregional. Dada la urgente necesidad de descarbonizar los sistemas energéticos y la consecuente tendencia hacia la electrificación de la economía, el siguiente paso natural debería ser promover una mayor participación de las energías renovables en otros sectores de uso final (acoplamiento sectorial). En este nuevo contexto, es importante </w:t>
      </w:r>
      <w:r>
        <w:rPr>
          <w:rFonts w:asciiTheme="minorHAnsi" w:eastAsiaTheme="minorHAnsi" w:hAnsiTheme="minorHAnsi" w:cstheme="minorHAnsi"/>
          <w:sz w:val="22"/>
          <w:szCs w:val="22"/>
          <w:lang w:val="es-ES"/>
        </w:rPr>
        <w:t>monitorear</w:t>
      </w:r>
      <w:r w:rsidRPr="002D194E">
        <w:rPr>
          <w:rFonts w:asciiTheme="minorHAnsi" w:eastAsiaTheme="minorHAnsi" w:hAnsiTheme="minorHAnsi" w:cstheme="minorHAnsi"/>
          <w:sz w:val="22"/>
          <w:szCs w:val="22"/>
          <w:lang w:val="es-ES"/>
        </w:rPr>
        <w:t xml:space="preserve"> la </w:t>
      </w:r>
      <w:r>
        <w:rPr>
          <w:rFonts w:asciiTheme="minorHAnsi" w:eastAsiaTheme="minorHAnsi" w:hAnsiTheme="minorHAnsi" w:cstheme="minorHAnsi"/>
          <w:sz w:val="22"/>
          <w:szCs w:val="22"/>
          <w:lang w:val="es-ES"/>
        </w:rPr>
        <w:t>p</w:t>
      </w:r>
      <w:r w:rsidR="006F207A">
        <w:rPr>
          <w:rFonts w:asciiTheme="minorHAnsi" w:eastAsiaTheme="minorHAnsi" w:hAnsiTheme="minorHAnsi" w:cstheme="minorHAnsi"/>
          <w:sz w:val="22"/>
          <w:szCs w:val="22"/>
          <w:lang w:val="es-ES"/>
        </w:rPr>
        <w:t>articipación</w:t>
      </w:r>
      <w:r w:rsidRPr="002D194E">
        <w:rPr>
          <w:rFonts w:asciiTheme="minorHAnsi" w:eastAsiaTheme="minorHAnsi" w:hAnsiTheme="minorHAnsi" w:cstheme="minorHAnsi"/>
          <w:sz w:val="22"/>
          <w:szCs w:val="22"/>
          <w:lang w:val="es-ES"/>
        </w:rPr>
        <w:t xml:space="preserve"> de energías renovables en el suministro o consumo total de energía. </w:t>
      </w:r>
      <w:proofErr w:type="spellStart"/>
      <w:r w:rsidRPr="002D194E">
        <w:rPr>
          <w:rFonts w:asciiTheme="minorHAnsi" w:eastAsiaTheme="minorHAnsi" w:hAnsiTheme="minorHAnsi" w:cstheme="minorHAnsi"/>
          <w:sz w:val="22"/>
          <w:szCs w:val="22"/>
        </w:rPr>
        <w:t>Otras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regiones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como</w:t>
      </w:r>
      <w:proofErr w:type="spellEnd"/>
      <w:r w:rsidRPr="002D194E">
        <w:rPr>
          <w:rFonts w:asciiTheme="minorHAnsi" w:eastAsiaTheme="minorHAnsi" w:hAnsiTheme="minorHAnsi" w:cstheme="minorHAnsi"/>
          <w:sz w:val="22"/>
          <w:szCs w:val="22"/>
        </w:rPr>
        <w:t xml:space="preserve"> Europa, </w:t>
      </w:r>
      <w:proofErr w:type="spellStart"/>
      <w:r w:rsidRPr="002D194E">
        <w:rPr>
          <w:rFonts w:asciiTheme="minorHAnsi" w:eastAsiaTheme="minorHAnsi" w:hAnsiTheme="minorHAnsi" w:cstheme="minorHAnsi"/>
          <w:sz w:val="22"/>
          <w:szCs w:val="22"/>
        </w:rPr>
        <w:t>han</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incluido</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en</w:t>
      </w:r>
      <w:proofErr w:type="spellEnd"/>
      <w:r w:rsidRPr="002D194E">
        <w:rPr>
          <w:rFonts w:asciiTheme="minorHAnsi" w:eastAsiaTheme="minorHAnsi" w:hAnsiTheme="minorHAnsi" w:cstheme="minorHAnsi"/>
          <w:sz w:val="22"/>
          <w:szCs w:val="22"/>
        </w:rPr>
        <w:t xml:space="preserve"> sus </w:t>
      </w:r>
      <w:proofErr w:type="spellStart"/>
      <w:r w:rsidRPr="002D194E">
        <w:rPr>
          <w:rFonts w:asciiTheme="minorHAnsi" w:eastAsiaTheme="minorHAnsi" w:hAnsiTheme="minorHAnsi" w:cstheme="minorHAnsi"/>
          <w:sz w:val="22"/>
          <w:szCs w:val="22"/>
        </w:rPr>
        <w:t>políticas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sectoriales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objetivos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específicos</w:t>
      </w:r>
      <w:proofErr w:type="spellEnd"/>
      <w:r w:rsidRPr="002D194E">
        <w:rPr>
          <w:rFonts w:asciiTheme="minorHAnsi" w:eastAsiaTheme="minorHAnsi" w:hAnsiTheme="minorHAnsi" w:cstheme="minorHAnsi"/>
          <w:sz w:val="22"/>
          <w:szCs w:val="22"/>
        </w:rPr>
        <w:t xml:space="preserve"> para la </w:t>
      </w:r>
      <w:proofErr w:type="spellStart"/>
      <w:r w:rsidRPr="002D194E">
        <w:rPr>
          <w:rFonts w:asciiTheme="minorHAnsi" w:eastAsiaTheme="minorHAnsi" w:hAnsiTheme="minorHAnsi" w:cstheme="minorHAnsi"/>
          <w:sz w:val="22"/>
          <w:szCs w:val="22"/>
        </w:rPr>
        <w:t>cuota</w:t>
      </w:r>
      <w:proofErr w:type="spellEnd"/>
      <w:r w:rsidRPr="002D194E">
        <w:rPr>
          <w:rFonts w:asciiTheme="minorHAnsi" w:eastAsiaTheme="minorHAnsi" w:hAnsiTheme="minorHAnsi" w:cstheme="minorHAnsi"/>
          <w:sz w:val="22"/>
          <w:szCs w:val="22"/>
        </w:rPr>
        <w:t xml:space="preserve"> de </w:t>
      </w:r>
      <w:proofErr w:type="spellStart"/>
      <w:r w:rsidRPr="002D194E">
        <w:rPr>
          <w:rFonts w:asciiTheme="minorHAnsi" w:eastAsiaTheme="minorHAnsi" w:hAnsiTheme="minorHAnsi" w:cstheme="minorHAnsi"/>
          <w:sz w:val="22"/>
          <w:szCs w:val="22"/>
        </w:rPr>
        <w:t>energías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renovables</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en</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el</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consumo</w:t>
      </w:r>
      <w:proofErr w:type="spellEnd"/>
      <w:r w:rsidRPr="002D194E">
        <w:rPr>
          <w:rFonts w:asciiTheme="minorHAnsi" w:eastAsiaTheme="minorHAnsi" w:hAnsiTheme="minorHAnsi" w:cstheme="minorHAnsi"/>
          <w:sz w:val="22"/>
          <w:szCs w:val="22"/>
        </w:rPr>
        <w:t xml:space="preserve"> </w:t>
      </w:r>
      <w:proofErr w:type="spellStart"/>
      <w:r w:rsidRPr="002D194E">
        <w:rPr>
          <w:rFonts w:asciiTheme="minorHAnsi" w:eastAsiaTheme="minorHAnsi" w:hAnsiTheme="minorHAnsi" w:cstheme="minorHAnsi"/>
          <w:sz w:val="22"/>
          <w:szCs w:val="22"/>
        </w:rPr>
        <w:t>primario</w:t>
      </w:r>
      <w:proofErr w:type="spellEnd"/>
      <w:r w:rsidRPr="002D194E">
        <w:rPr>
          <w:rFonts w:asciiTheme="minorHAnsi" w:eastAsiaTheme="minorHAnsi" w:hAnsiTheme="minorHAnsi" w:cstheme="minorHAnsi"/>
          <w:sz w:val="22"/>
          <w:szCs w:val="22"/>
        </w:rPr>
        <w:t xml:space="preserve"> (42,5% para 2030).</w:t>
      </w:r>
    </w:p>
    <w:p w14:paraId="063962D2" w14:textId="7722DC5B" w:rsidR="008518E5" w:rsidRPr="006F207A" w:rsidRDefault="006F207A" w:rsidP="0061546E">
      <w:pPr>
        <w:spacing w:line="276" w:lineRule="auto"/>
        <w:contextualSpacing/>
        <w:jc w:val="both"/>
        <w:rPr>
          <w:rFonts w:asciiTheme="minorHAnsi" w:eastAsiaTheme="minorHAnsi" w:hAnsiTheme="minorHAnsi" w:cstheme="minorHAnsi"/>
          <w:sz w:val="22"/>
          <w:szCs w:val="22"/>
          <w:lang w:val="es-ES"/>
        </w:rPr>
      </w:pPr>
      <w:r w:rsidRPr="006F207A">
        <w:rPr>
          <w:rFonts w:asciiTheme="minorHAnsi" w:eastAsiaTheme="minorHAnsi" w:hAnsiTheme="minorHAnsi" w:cstheme="minorHAnsi"/>
          <w:sz w:val="22"/>
          <w:szCs w:val="22"/>
          <w:lang w:val="es-ES"/>
        </w:rPr>
        <w:lastRenderedPageBreak/>
        <w:t>Además, algunos países de ALC no tienen objetivos sectoriales para las energías renovables en el sector eléctrico, pero sí en el sector energético y, por lo tanto, un seguimiento del indicador de las energías renovables en el suministro total de energía a nivel regional podría alinear mejor el alcance de la iniciativa RELAC con los objetivos expresados en las políticas energéticas de cada país y con indicadores reconocidos a nivel mundial como el ODS 7, que en el caso de las energías renovables (ODS 7.2.1) se expresa en términos de la proporción de fuentes renovables en el consumo total o final de energía</w:t>
      </w:r>
      <w:r w:rsidR="00431447" w:rsidRPr="006F207A">
        <w:rPr>
          <w:rFonts w:asciiTheme="minorHAnsi" w:eastAsiaTheme="minorHAnsi" w:hAnsiTheme="minorHAnsi" w:cstheme="minorHAnsi"/>
          <w:sz w:val="22"/>
          <w:szCs w:val="22"/>
          <w:lang w:val="es-ES"/>
        </w:rPr>
        <w:t>.</w:t>
      </w:r>
    </w:p>
    <w:p w14:paraId="6659163A" w14:textId="77777777" w:rsidR="00A27784" w:rsidRPr="006F207A" w:rsidRDefault="00A27784" w:rsidP="00A27784">
      <w:pPr>
        <w:spacing w:line="276" w:lineRule="auto"/>
        <w:ind w:left="360"/>
        <w:contextualSpacing/>
        <w:rPr>
          <w:rFonts w:asciiTheme="minorHAnsi" w:eastAsiaTheme="minorHAnsi" w:hAnsiTheme="minorHAnsi" w:cstheme="minorHAnsi"/>
          <w:b/>
          <w:sz w:val="22"/>
          <w:szCs w:val="22"/>
          <w:u w:val="single"/>
          <w:lang w:val="es-ES"/>
        </w:rPr>
      </w:pPr>
    </w:p>
    <w:p w14:paraId="6659163B" w14:textId="1837488B" w:rsidR="00A27784" w:rsidRPr="00B60ABF" w:rsidRDefault="00B60ABF" w:rsidP="00A27784">
      <w:pPr>
        <w:widowControl w:val="0"/>
        <w:numPr>
          <w:ilvl w:val="0"/>
          <w:numId w:val="1"/>
        </w:numPr>
        <w:spacing w:after="200" w:line="276" w:lineRule="auto"/>
        <w:contextualSpacing/>
        <w:rPr>
          <w:rFonts w:asciiTheme="minorHAnsi" w:eastAsiaTheme="minorHAnsi" w:hAnsiTheme="minorHAnsi" w:cstheme="minorHAnsi"/>
          <w:b/>
          <w:sz w:val="22"/>
          <w:szCs w:val="22"/>
          <w:u w:val="single"/>
          <w:lang w:val="es-ES"/>
        </w:rPr>
      </w:pPr>
      <w:r w:rsidRPr="00B60ABF">
        <w:rPr>
          <w:rFonts w:asciiTheme="minorHAnsi" w:eastAsiaTheme="minorHAnsi" w:hAnsiTheme="minorHAnsi" w:cstheme="minorHAnsi"/>
          <w:b/>
          <w:sz w:val="22"/>
          <w:szCs w:val="22"/>
          <w:u w:val="single"/>
          <w:lang w:val="es-ES"/>
        </w:rPr>
        <w:t>Objetivos y Alcance de l</w:t>
      </w:r>
      <w:r>
        <w:rPr>
          <w:rFonts w:asciiTheme="minorHAnsi" w:eastAsiaTheme="minorHAnsi" w:hAnsiTheme="minorHAnsi" w:cstheme="minorHAnsi"/>
          <w:b/>
          <w:sz w:val="22"/>
          <w:szCs w:val="22"/>
          <w:u w:val="single"/>
          <w:lang w:val="es-ES"/>
        </w:rPr>
        <w:t>os Servicios</w:t>
      </w:r>
    </w:p>
    <w:p w14:paraId="78987AD5" w14:textId="77777777" w:rsidR="00CF10D1" w:rsidRPr="00B60ABF" w:rsidRDefault="00CF10D1" w:rsidP="00CF10D1">
      <w:pPr>
        <w:widowControl w:val="0"/>
        <w:spacing w:after="200" w:line="276" w:lineRule="auto"/>
        <w:ind w:left="360"/>
        <w:contextualSpacing/>
        <w:rPr>
          <w:rFonts w:asciiTheme="minorHAnsi" w:eastAsiaTheme="minorHAnsi" w:hAnsiTheme="minorHAnsi" w:cstheme="minorHAnsi"/>
          <w:b/>
          <w:sz w:val="22"/>
          <w:szCs w:val="22"/>
          <w:u w:val="single"/>
          <w:lang w:val="es-ES"/>
        </w:rPr>
      </w:pPr>
    </w:p>
    <w:p w14:paraId="35576DBC" w14:textId="0A35A65A" w:rsidR="00967C8F" w:rsidRDefault="00F0391E" w:rsidP="000F398F">
      <w:pPr>
        <w:spacing w:line="276" w:lineRule="auto"/>
        <w:contextualSpacing/>
        <w:jc w:val="both"/>
        <w:rPr>
          <w:rFonts w:asciiTheme="minorHAnsi" w:eastAsiaTheme="minorHAnsi" w:hAnsiTheme="minorHAnsi" w:cstheme="minorHAnsi"/>
          <w:bCs/>
          <w:iCs/>
          <w:sz w:val="22"/>
          <w:szCs w:val="22"/>
          <w:lang w:val="es-ES"/>
        </w:rPr>
      </w:pPr>
      <w:r w:rsidRPr="00F0391E">
        <w:rPr>
          <w:rFonts w:asciiTheme="minorHAnsi" w:eastAsiaTheme="minorHAnsi" w:hAnsiTheme="minorHAnsi" w:cstheme="minorHAnsi"/>
          <w:bCs/>
          <w:iCs/>
          <w:sz w:val="22"/>
          <w:szCs w:val="22"/>
          <w:lang w:val="es-ES"/>
        </w:rPr>
        <w:t xml:space="preserve">La consultoría desarrollará </w:t>
      </w:r>
      <w:r>
        <w:rPr>
          <w:rFonts w:asciiTheme="minorHAnsi" w:eastAsiaTheme="minorHAnsi" w:hAnsiTheme="minorHAnsi" w:cstheme="minorHAnsi"/>
          <w:bCs/>
          <w:iCs/>
          <w:sz w:val="22"/>
          <w:szCs w:val="22"/>
          <w:lang w:val="es-ES"/>
        </w:rPr>
        <w:t>sendas</w:t>
      </w:r>
      <w:r w:rsidRPr="00F0391E">
        <w:rPr>
          <w:rFonts w:asciiTheme="minorHAnsi" w:eastAsiaTheme="minorHAnsi" w:hAnsiTheme="minorHAnsi" w:cstheme="minorHAnsi"/>
          <w:bCs/>
          <w:iCs/>
          <w:sz w:val="22"/>
          <w:szCs w:val="22"/>
          <w:lang w:val="es-ES"/>
        </w:rPr>
        <w:t xml:space="preserve"> de descarbonización y explorará opciones para un objetivo regional en términos de participación de las energías renovables en </w:t>
      </w:r>
      <w:r>
        <w:rPr>
          <w:rFonts w:asciiTheme="minorHAnsi" w:eastAsiaTheme="minorHAnsi" w:hAnsiTheme="minorHAnsi" w:cstheme="minorHAnsi"/>
          <w:bCs/>
          <w:iCs/>
          <w:sz w:val="22"/>
          <w:szCs w:val="22"/>
          <w:lang w:val="es-ES"/>
        </w:rPr>
        <w:t>la oferta</w:t>
      </w:r>
      <w:r w:rsidRPr="00F0391E">
        <w:rPr>
          <w:rFonts w:asciiTheme="minorHAnsi" w:eastAsiaTheme="minorHAnsi" w:hAnsiTheme="minorHAnsi" w:cstheme="minorHAnsi"/>
          <w:bCs/>
          <w:iCs/>
          <w:sz w:val="22"/>
          <w:szCs w:val="22"/>
          <w:lang w:val="es-ES"/>
        </w:rPr>
        <w:t xml:space="preserve"> total de energía (según la definición de OLADE) que pueda reflejar un aumento de la ambición y el logro de objetivos relacionados con el clima. La Organización Latinoamericana de Energía (OLADE) se ha encargado de consolidar los datos y estadísticas del sector energético de 27 países de ALC. Los ejercicios anuales de prospectiva energética de OLADE consideran la información más actualizada de sus países miembros y proporcionan una perspectiva general del desarrollo futuro del sector energético en la región, por </w:t>
      </w:r>
      <w:r w:rsidR="0078701C" w:rsidRPr="00F0391E">
        <w:rPr>
          <w:rFonts w:asciiTheme="minorHAnsi" w:eastAsiaTheme="minorHAnsi" w:hAnsiTheme="minorHAnsi" w:cstheme="minorHAnsi"/>
          <w:bCs/>
          <w:iCs/>
          <w:sz w:val="22"/>
          <w:szCs w:val="22"/>
          <w:lang w:val="es-ES"/>
        </w:rPr>
        <w:t>ejemplo,</w:t>
      </w:r>
      <w:r w:rsidRPr="00F0391E">
        <w:rPr>
          <w:rFonts w:asciiTheme="minorHAnsi" w:eastAsiaTheme="minorHAnsi" w:hAnsiTheme="minorHAnsi" w:cstheme="minorHAnsi"/>
          <w:bCs/>
          <w:iCs/>
          <w:sz w:val="22"/>
          <w:szCs w:val="22"/>
          <w:lang w:val="es-ES"/>
        </w:rPr>
        <w:t xml:space="preserve"> en términos de un escenario de referencia en el sector eléctrico hasta 2030.</w:t>
      </w:r>
    </w:p>
    <w:p w14:paraId="660A7B9E" w14:textId="77777777" w:rsidR="00F0391E" w:rsidRPr="00F0391E" w:rsidRDefault="00F0391E" w:rsidP="000F398F">
      <w:pPr>
        <w:spacing w:line="276" w:lineRule="auto"/>
        <w:contextualSpacing/>
        <w:jc w:val="both"/>
        <w:rPr>
          <w:rFonts w:asciiTheme="minorHAnsi" w:eastAsiaTheme="minorHAnsi" w:hAnsiTheme="minorHAnsi" w:cstheme="minorHAnsi"/>
          <w:bCs/>
          <w:iCs/>
          <w:sz w:val="22"/>
          <w:szCs w:val="22"/>
          <w:lang w:val="es-ES"/>
        </w:rPr>
      </w:pPr>
    </w:p>
    <w:p w14:paraId="013E05C8" w14:textId="0D63730C" w:rsidR="009650FF" w:rsidRDefault="0078701C" w:rsidP="000F398F">
      <w:pPr>
        <w:spacing w:line="276" w:lineRule="auto"/>
        <w:contextualSpacing/>
        <w:jc w:val="both"/>
        <w:rPr>
          <w:rFonts w:asciiTheme="minorHAnsi" w:eastAsiaTheme="minorHAnsi" w:hAnsiTheme="minorHAnsi" w:cstheme="minorHAnsi"/>
          <w:bCs/>
          <w:iCs/>
          <w:sz w:val="22"/>
          <w:szCs w:val="22"/>
          <w:lang w:val="es-ES"/>
        </w:rPr>
      </w:pPr>
      <w:r w:rsidRPr="0078701C">
        <w:rPr>
          <w:rFonts w:asciiTheme="minorHAnsi" w:eastAsiaTheme="minorHAnsi" w:hAnsiTheme="minorHAnsi" w:cstheme="minorHAnsi"/>
          <w:bCs/>
          <w:iCs/>
          <w:sz w:val="22"/>
          <w:szCs w:val="22"/>
          <w:lang w:val="es-ES"/>
        </w:rPr>
        <w:t xml:space="preserve">Un aumento de la ambición en relación con un escenario de referencia permitiría a los países de ALC alcanzar y cumplir sus objetivos climáticos, por ejemplo, llegar a cero emisiones netas de gases de efecto invernadero en torno a 2050, tal y como establece el Acuerdo de París (AP). En este caso, y como ya han analizado varios ejercicios globales de modelización, la tendencia será hacia la electrificación de los usos finales (transporte, industria, edificios, etc.). Según su último informe </w:t>
      </w:r>
      <w:proofErr w:type="spellStart"/>
      <w:r w:rsidRPr="0078701C">
        <w:rPr>
          <w:rFonts w:asciiTheme="minorHAnsi" w:eastAsiaTheme="minorHAnsi" w:hAnsiTheme="minorHAnsi" w:cstheme="minorHAnsi"/>
          <w:bCs/>
          <w:iCs/>
          <w:sz w:val="22"/>
          <w:szCs w:val="22"/>
          <w:lang w:val="es-ES"/>
        </w:rPr>
        <w:t>World</w:t>
      </w:r>
      <w:proofErr w:type="spellEnd"/>
      <w:r w:rsidRPr="0078701C">
        <w:rPr>
          <w:rFonts w:asciiTheme="minorHAnsi" w:eastAsiaTheme="minorHAnsi" w:hAnsiTheme="minorHAnsi" w:cstheme="minorHAnsi"/>
          <w:bCs/>
          <w:iCs/>
          <w:sz w:val="22"/>
          <w:szCs w:val="22"/>
          <w:lang w:val="es-ES"/>
        </w:rPr>
        <w:t xml:space="preserve"> Energy </w:t>
      </w:r>
      <w:proofErr w:type="spellStart"/>
      <w:r w:rsidRPr="0078701C">
        <w:rPr>
          <w:rFonts w:asciiTheme="minorHAnsi" w:eastAsiaTheme="minorHAnsi" w:hAnsiTheme="minorHAnsi" w:cstheme="minorHAnsi"/>
          <w:bCs/>
          <w:iCs/>
          <w:sz w:val="22"/>
          <w:szCs w:val="22"/>
          <w:lang w:val="es-ES"/>
        </w:rPr>
        <w:t>Transitions</w:t>
      </w:r>
      <w:proofErr w:type="spellEnd"/>
      <w:r w:rsidRPr="0078701C">
        <w:rPr>
          <w:rFonts w:asciiTheme="minorHAnsi" w:eastAsiaTheme="minorHAnsi" w:hAnsiTheme="minorHAnsi" w:cstheme="minorHAnsi"/>
          <w:bCs/>
          <w:iCs/>
          <w:sz w:val="22"/>
          <w:szCs w:val="22"/>
          <w:lang w:val="es-ES"/>
        </w:rPr>
        <w:t xml:space="preserve"> Outlook </w:t>
      </w:r>
      <w:r w:rsidR="009C2F25" w:rsidRPr="0078701C">
        <w:rPr>
          <w:rFonts w:asciiTheme="minorHAnsi" w:eastAsiaTheme="minorHAnsi" w:hAnsiTheme="minorHAnsi" w:cstheme="minorHAnsi"/>
          <w:bCs/>
          <w:iCs/>
          <w:sz w:val="22"/>
          <w:szCs w:val="22"/>
          <w:lang w:val="es-ES"/>
        </w:rPr>
        <w:t>2023,</w:t>
      </w:r>
      <w:r w:rsidRPr="0078701C">
        <w:rPr>
          <w:rFonts w:asciiTheme="minorHAnsi" w:eastAsiaTheme="minorHAnsi" w:hAnsiTheme="minorHAnsi" w:cstheme="minorHAnsi"/>
          <w:bCs/>
          <w:iCs/>
          <w:sz w:val="22"/>
          <w:szCs w:val="22"/>
          <w:lang w:val="es-ES"/>
        </w:rPr>
        <w:t xml:space="preserve"> IRENA estima que el porcentaje de electricidad directa en el consumo final de energía debe aumentar casi un tercio, hasta el 29% en 2030, y hasta el 51% en 2050, frente al 22% en 2020. El aumento del proceso de electrificación debe ser también más renovable para cumplir los objetivos del cambio climático. IRENA estima que la cuota de renovables en la generación mundial de electricidad en 2030 debería ser del 67% (frente al 28% en 2020) para ajustarse a un escenario de 1,5C (objetivo RELAC para ALC del 70%). Mientras tanto, en términos de cuota de renovables en el consumo final de energía global, IRENA estima una cuota del 34% para 2030, alineada con este escenario de mitigación más estricto (desde el 19% en 2020). A mediados de 2023, no se dispone de estimaciones regionales de IRENA u otros organismos para América Latina y el Caribe sobre la cuota de las energías renovables en el consumo final de energía en consonancia con el cambio climático.</w:t>
      </w:r>
    </w:p>
    <w:p w14:paraId="261E0AA0" w14:textId="77777777" w:rsidR="0078701C" w:rsidRPr="0078701C" w:rsidRDefault="0078701C" w:rsidP="000F398F">
      <w:pPr>
        <w:spacing w:line="276" w:lineRule="auto"/>
        <w:contextualSpacing/>
        <w:jc w:val="both"/>
        <w:rPr>
          <w:rFonts w:asciiTheme="minorHAnsi" w:eastAsiaTheme="minorHAnsi" w:hAnsiTheme="minorHAnsi" w:cstheme="minorHAnsi"/>
          <w:bCs/>
          <w:iCs/>
          <w:sz w:val="22"/>
          <w:szCs w:val="22"/>
          <w:lang w:val="es-ES"/>
        </w:rPr>
      </w:pPr>
    </w:p>
    <w:p w14:paraId="66591642" w14:textId="3A777992" w:rsidR="00A27784" w:rsidRDefault="00376455" w:rsidP="00376455">
      <w:pPr>
        <w:spacing w:line="276" w:lineRule="auto"/>
        <w:contextualSpacing/>
        <w:jc w:val="both"/>
        <w:rPr>
          <w:rFonts w:asciiTheme="minorHAnsi" w:eastAsiaTheme="minorHAnsi" w:hAnsiTheme="minorHAnsi" w:cstheme="minorHAnsi"/>
          <w:bCs/>
          <w:iCs/>
          <w:sz w:val="22"/>
          <w:szCs w:val="22"/>
          <w:lang w:val="es-ES"/>
        </w:rPr>
      </w:pPr>
      <w:r w:rsidRPr="00376455">
        <w:rPr>
          <w:rFonts w:asciiTheme="minorHAnsi" w:eastAsiaTheme="minorHAnsi" w:hAnsiTheme="minorHAnsi" w:cstheme="minorHAnsi"/>
          <w:bCs/>
          <w:iCs/>
          <w:sz w:val="22"/>
          <w:szCs w:val="22"/>
          <w:lang w:val="es-ES"/>
        </w:rPr>
        <w:t xml:space="preserve">Dado que un análisis exhaustivo de escenarios netos cero para la región implicaría un tiempo y unos recursos considerables de los que no se dispone en este momento, el consultor debería analizar </w:t>
      </w:r>
      <w:r w:rsidR="00AE69C9">
        <w:rPr>
          <w:rFonts w:asciiTheme="minorHAnsi" w:eastAsiaTheme="minorHAnsi" w:hAnsiTheme="minorHAnsi" w:cstheme="minorHAnsi"/>
          <w:bCs/>
          <w:iCs/>
          <w:sz w:val="22"/>
          <w:szCs w:val="22"/>
          <w:lang w:val="es-ES"/>
        </w:rPr>
        <w:t>sendas</w:t>
      </w:r>
      <w:r w:rsidRPr="00376455">
        <w:rPr>
          <w:rFonts w:asciiTheme="minorHAnsi" w:eastAsiaTheme="minorHAnsi" w:hAnsiTheme="minorHAnsi" w:cstheme="minorHAnsi"/>
          <w:bCs/>
          <w:iCs/>
          <w:sz w:val="22"/>
          <w:szCs w:val="22"/>
          <w:lang w:val="es-ES"/>
        </w:rPr>
        <w:t xml:space="preserve"> alternativas de descarbonización que estén alineadas con las políticas actuales de los gobiernos de ALC, por </w:t>
      </w:r>
      <w:proofErr w:type="gramStart"/>
      <w:r w:rsidRPr="00376455">
        <w:rPr>
          <w:rFonts w:asciiTheme="minorHAnsi" w:eastAsiaTheme="minorHAnsi" w:hAnsiTheme="minorHAnsi" w:cstheme="minorHAnsi"/>
          <w:bCs/>
          <w:iCs/>
          <w:sz w:val="22"/>
          <w:szCs w:val="22"/>
          <w:lang w:val="es-ES"/>
        </w:rPr>
        <w:t>ejemplo</w:t>
      </w:r>
      <w:proofErr w:type="gramEnd"/>
      <w:r w:rsidRPr="00376455">
        <w:rPr>
          <w:rFonts w:asciiTheme="minorHAnsi" w:eastAsiaTheme="minorHAnsi" w:hAnsiTheme="minorHAnsi" w:cstheme="minorHAnsi"/>
          <w:bCs/>
          <w:iCs/>
          <w:sz w:val="22"/>
          <w:szCs w:val="22"/>
          <w:lang w:val="es-ES"/>
        </w:rPr>
        <w:t xml:space="preserve"> a través de los compromisos expresados mediante sus Contribuciones Determinadas a Nivel Nacional (NDC) existentes.  Algunas de esas NDC </w:t>
      </w:r>
      <w:r w:rsidR="00AE69C9">
        <w:rPr>
          <w:rFonts w:asciiTheme="minorHAnsi" w:eastAsiaTheme="minorHAnsi" w:hAnsiTheme="minorHAnsi" w:cstheme="minorHAnsi"/>
          <w:bCs/>
          <w:iCs/>
          <w:sz w:val="22"/>
          <w:szCs w:val="22"/>
          <w:lang w:val="es-ES"/>
        </w:rPr>
        <w:t>incluyen</w:t>
      </w:r>
      <w:r w:rsidRPr="00376455">
        <w:rPr>
          <w:rFonts w:asciiTheme="minorHAnsi" w:eastAsiaTheme="minorHAnsi" w:hAnsiTheme="minorHAnsi" w:cstheme="minorHAnsi"/>
          <w:bCs/>
          <w:iCs/>
          <w:sz w:val="22"/>
          <w:szCs w:val="22"/>
          <w:lang w:val="es-ES"/>
        </w:rPr>
        <w:t xml:space="preserve"> objetivos sectoriales de mitigación para el sector energético en su conjunto u objetivos en términos de aumento de la capacidad renovable en el sector de generación de energía. Estos escenarios nacionales más ambiciosos podrían agregarse de manera regional </w:t>
      </w:r>
      <w:r w:rsidRPr="00376455">
        <w:rPr>
          <w:rFonts w:asciiTheme="minorHAnsi" w:eastAsiaTheme="minorHAnsi" w:hAnsiTheme="minorHAnsi" w:cstheme="minorHAnsi"/>
          <w:bCs/>
          <w:iCs/>
          <w:sz w:val="22"/>
          <w:szCs w:val="22"/>
          <w:lang w:val="es-ES"/>
        </w:rPr>
        <w:lastRenderedPageBreak/>
        <w:t>para desarrollar una trayectoria de descarbonización coherente que podría respaldar la justificación de un objetivo RELAC en el sector energético para 2030 y, eventualmente, una estimación para otros objetivos más lejanos en el tiempo (por ejemplo, 2050).</w:t>
      </w:r>
    </w:p>
    <w:p w14:paraId="022C152C" w14:textId="77777777" w:rsidR="00AE69C9" w:rsidRPr="00376455" w:rsidRDefault="00AE69C9" w:rsidP="00376455">
      <w:pPr>
        <w:spacing w:line="276" w:lineRule="auto"/>
        <w:contextualSpacing/>
        <w:jc w:val="both"/>
        <w:rPr>
          <w:rFonts w:asciiTheme="minorHAnsi" w:eastAsiaTheme="minorHAnsi" w:hAnsiTheme="minorHAnsi" w:cstheme="minorHAnsi"/>
          <w:sz w:val="22"/>
          <w:szCs w:val="22"/>
          <w:lang w:val="es-ES"/>
        </w:rPr>
      </w:pPr>
    </w:p>
    <w:p w14:paraId="66591643" w14:textId="743B2D8D" w:rsidR="00A27784" w:rsidRPr="00455CAD" w:rsidRDefault="00E61E59" w:rsidP="00A27784">
      <w:pPr>
        <w:widowControl w:val="0"/>
        <w:numPr>
          <w:ilvl w:val="0"/>
          <w:numId w:val="1"/>
        </w:numPr>
        <w:spacing w:after="200" w:line="276" w:lineRule="auto"/>
        <w:contextualSpacing/>
        <w:rPr>
          <w:rFonts w:asciiTheme="minorHAnsi" w:eastAsiaTheme="minorHAnsi" w:hAnsiTheme="minorHAnsi" w:cstheme="minorHAnsi"/>
          <w:b/>
          <w:sz w:val="22"/>
          <w:szCs w:val="22"/>
          <w:u w:val="single"/>
        </w:rPr>
      </w:pPr>
      <w:proofErr w:type="spellStart"/>
      <w:r>
        <w:rPr>
          <w:rFonts w:asciiTheme="minorHAnsi" w:eastAsiaTheme="minorHAnsi" w:hAnsiTheme="minorHAnsi" w:cstheme="minorHAnsi"/>
          <w:b/>
          <w:sz w:val="22"/>
          <w:szCs w:val="22"/>
          <w:u w:val="single"/>
        </w:rPr>
        <w:t>Principales</w:t>
      </w:r>
      <w:proofErr w:type="spellEnd"/>
      <w:r>
        <w:rPr>
          <w:rFonts w:asciiTheme="minorHAnsi" w:eastAsiaTheme="minorHAnsi" w:hAnsiTheme="minorHAnsi" w:cstheme="minorHAnsi"/>
          <w:b/>
          <w:sz w:val="22"/>
          <w:szCs w:val="22"/>
          <w:u w:val="single"/>
        </w:rPr>
        <w:t xml:space="preserve"> </w:t>
      </w:r>
      <w:proofErr w:type="spellStart"/>
      <w:r>
        <w:rPr>
          <w:rFonts w:asciiTheme="minorHAnsi" w:eastAsiaTheme="minorHAnsi" w:hAnsiTheme="minorHAnsi" w:cstheme="minorHAnsi"/>
          <w:b/>
          <w:sz w:val="22"/>
          <w:szCs w:val="22"/>
          <w:u w:val="single"/>
        </w:rPr>
        <w:t>actividades</w:t>
      </w:r>
      <w:proofErr w:type="spellEnd"/>
    </w:p>
    <w:p w14:paraId="5FF7D7E0" w14:textId="77777777" w:rsidR="00B718A4" w:rsidRPr="00455CAD" w:rsidRDefault="00B718A4" w:rsidP="00D326E6">
      <w:pPr>
        <w:spacing w:after="200"/>
        <w:contextualSpacing/>
        <w:jc w:val="both"/>
        <w:rPr>
          <w:rFonts w:asciiTheme="minorHAnsi" w:eastAsia="Calibri" w:hAnsiTheme="minorHAnsi" w:cstheme="minorHAnsi"/>
          <w:sz w:val="22"/>
          <w:szCs w:val="22"/>
        </w:rPr>
      </w:pPr>
    </w:p>
    <w:p w14:paraId="31696E4D" w14:textId="1F8C686E" w:rsidR="003B5CCF" w:rsidRPr="00E61E59" w:rsidRDefault="00E61E59" w:rsidP="00A95420">
      <w:pPr>
        <w:spacing w:after="200"/>
        <w:contextualSpacing/>
        <w:jc w:val="both"/>
        <w:rPr>
          <w:rFonts w:asciiTheme="minorHAnsi" w:eastAsia="Calibri" w:hAnsiTheme="minorHAnsi" w:cstheme="minorHAnsi"/>
          <w:sz w:val="22"/>
          <w:szCs w:val="22"/>
          <w:lang w:val="es-ES"/>
        </w:rPr>
      </w:pPr>
      <w:r w:rsidRPr="00E61E59">
        <w:rPr>
          <w:rFonts w:asciiTheme="minorHAnsi" w:eastAsia="Calibri" w:hAnsiTheme="minorHAnsi" w:cstheme="minorHAnsi"/>
          <w:sz w:val="22"/>
          <w:szCs w:val="22"/>
          <w:lang w:val="es-ES"/>
        </w:rPr>
        <w:t>El siguiente esquema mínimo comprende los aspectos más relevantes a considerar y analizar, pero podrían incluirse otros temas relevantes</w:t>
      </w:r>
      <w:r w:rsidR="00A16693" w:rsidRPr="00E61E59">
        <w:rPr>
          <w:rFonts w:asciiTheme="minorHAnsi" w:eastAsia="Calibri" w:hAnsiTheme="minorHAnsi" w:cstheme="minorHAnsi"/>
          <w:sz w:val="22"/>
          <w:szCs w:val="22"/>
          <w:lang w:val="es-ES"/>
        </w:rPr>
        <w:t>:</w:t>
      </w:r>
    </w:p>
    <w:p w14:paraId="126BF974" w14:textId="77777777" w:rsidR="00494624" w:rsidRPr="00E61E59" w:rsidRDefault="00494624" w:rsidP="00A95420">
      <w:pPr>
        <w:spacing w:after="200"/>
        <w:contextualSpacing/>
        <w:jc w:val="both"/>
        <w:rPr>
          <w:rFonts w:asciiTheme="minorHAnsi" w:eastAsia="Calibri" w:hAnsiTheme="minorHAnsi" w:cstheme="minorHAnsi"/>
          <w:sz w:val="22"/>
          <w:szCs w:val="22"/>
          <w:lang w:val="es-ES"/>
        </w:rPr>
      </w:pPr>
    </w:p>
    <w:p w14:paraId="6152BAFE" w14:textId="0044329E" w:rsidR="00494624" w:rsidRPr="00961A44" w:rsidRDefault="00961A44" w:rsidP="00F61FF7">
      <w:pPr>
        <w:pStyle w:val="Prrafodelista"/>
        <w:numPr>
          <w:ilvl w:val="1"/>
          <w:numId w:val="1"/>
        </w:numPr>
        <w:spacing w:after="200"/>
        <w:jc w:val="both"/>
        <w:rPr>
          <w:rFonts w:asciiTheme="minorHAnsi" w:hAnsiTheme="minorHAnsi" w:cstheme="minorHAnsi"/>
          <w:sz w:val="22"/>
          <w:szCs w:val="22"/>
          <w:lang w:val="es-ES"/>
        </w:rPr>
      </w:pPr>
      <w:r w:rsidRPr="00961A44">
        <w:rPr>
          <w:rFonts w:asciiTheme="minorHAnsi" w:hAnsiTheme="minorHAnsi" w:cstheme="minorHAnsi"/>
          <w:sz w:val="22"/>
          <w:szCs w:val="22"/>
          <w:lang w:val="es-ES"/>
        </w:rPr>
        <w:t>Elabor</w:t>
      </w:r>
      <w:r>
        <w:rPr>
          <w:rFonts w:asciiTheme="minorHAnsi" w:hAnsiTheme="minorHAnsi" w:cstheme="minorHAnsi"/>
          <w:sz w:val="22"/>
          <w:szCs w:val="22"/>
          <w:lang w:val="es-ES"/>
        </w:rPr>
        <w:t>ar</w:t>
      </w:r>
      <w:r w:rsidRPr="00961A44">
        <w:rPr>
          <w:rFonts w:asciiTheme="minorHAnsi" w:hAnsiTheme="minorHAnsi" w:cstheme="minorHAnsi"/>
          <w:sz w:val="22"/>
          <w:szCs w:val="22"/>
          <w:lang w:val="es-ES"/>
        </w:rPr>
        <w:t xml:space="preserve"> un plan de trabajo para el informe en el que se describan los métodos y herramientas propuestos para el </w:t>
      </w:r>
      <w:r>
        <w:rPr>
          <w:rFonts w:asciiTheme="minorHAnsi" w:hAnsiTheme="minorHAnsi" w:cstheme="minorHAnsi"/>
          <w:sz w:val="22"/>
          <w:szCs w:val="22"/>
          <w:lang w:val="es-ES"/>
        </w:rPr>
        <w:t>trabajo</w:t>
      </w:r>
      <w:r w:rsidRPr="00961A44">
        <w:rPr>
          <w:rFonts w:asciiTheme="minorHAnsi" w:hAnsiTheme="minorHAnsi" w:cstheme="minorHAnsi"/>
          <w:sz w:val="22"/>
          <w:szCs w:val="22"/>
          <w:lang w:val="es-ES"/>
        </w:rPr>
        <w:t xml:space="preserve"> y se detallen los resultados, hitos y productos que se obtendrán. </w:t>
      </w:r>
      <w:r w:rsidRPr="003651E4">
        <w:rPr>
          <w:rFonts w:asciiTheme="minorHAnsi" w:hAnsiTheme="minorHAnsi" w:cstheme="minorHAnsi"/>
          <w:sz w:val="22"/>
          <w:szCs w:val="22"/>
          <w:u w:val="single"/>
          <w:lang w:val="es-ES"/>
        </w:rPr>
        <w:t>Producto</w:t>
      </w:r>
      <w:r w:rsidRPr="00961A44">
        <w:rPr>
          <w:rFonts w:asciiTheme="minorHAnsi" w:hAnsiTheme="minorHAnsi" w:cstheme="minorHAnsi"/>
          <w:sz w:val="22"/>
          <w:szCs w:val="22"/>
          <w:lang w:val="es-ES"/>
        </w:rPr>
        <w:t xml:space="preserve">: Plan de trabajo con una descripción de los métodos, herramientas y productos propuestos para desarrollar y evaluar las </w:t>
      </w:r>
      <w:r>
        <w:rPr>
          <w:rFonts w:asciiTheme="minorHAnsi" w:hAnsiTheme="minorHAnsi" w:cstheme="minorHAnsi"/>
          <w:sz w:val="22"/>
          <w:szCs w:val="22"/>
          <w:lang w:val="es-ES"/>
        </w:rPr>
        <w:t>trayectorias</w:t>
      </w:r>
      <w:r w:rsidRPr="00961A44">
        <w:rPr>
          <w:rFonts w:asciiTheme="minorHAnsi" w:hAnsiTheme="minorHAnsi" w:cstheme="minorHAnsi"/>
          <w:sz w:val="22"/>
          <w:szCs w:val="22"/>
          <w:lang w:val="es-ES"/>
        </w:rPr>
        <w:t xml:space="preserve"> de descarbonización del sector energético de los 16 países miembros de la RELAC</w:t>
      </w:r>
      <w:r w:rsidR="009B390F" w:rsidRPr="00961A44">
        <w:rPr>
          <w:rFonts w:asciiTheme="minorHAnsi" w:hAnsiTheme="minorHAnsi" w:cstheme="minorHAnsi"/>
          <w:sz w:val="22"/>
          <w:szCs w:val="22"/>
          <w:lang w:val="es-ES"/>
        </w:rPr>
        <w:t>.</w:t>
      </w:r>
    </w:p>
    <w:p w14:paraId="6196B7FC" w14:textId="77777777" w:rsidR="00775745" w:rsidRPr="00961A44" w:rsidRDefault="00775745" w:rsidP="00F61FF7">
      <w:pPr>
        <w:pStyle w:val="Prrafodelista"/>
        <w:spacing w:after="200"/>
        <w:ind w:left="792"/>
        <w:jc w:val="both"/>
        <w:rPr>
          <w:rFonts w:asciiTheme="minorHAnsi" w:hAnsiTheme="minorHAnsi" w:cstheme="minorHAnsi"/>
          <w:sz w:val="22"/>
          <w:szCs w:val="22"/>
          <w:lang w:val="es-ES"/>
        </w:rPr>
      </w:pPr>
    </w:p>
    <w:p w14:paraId="165BA7C6" w14:textId="39209523" w:rsidR="002162D7" w:rsidRPr="0036773C" w:rsidRDefault="0036773C" w:rsidP="00F61FF7">
      <w:pPr>
        <w:pStyle w:val="Prrafodelista"/>
        <w:numPr>
          <w:ilvl w:val="1"/>
          <w:numId w:val="1"/>
        </w:numPr>
        <w:jc w:val="both"/>
        <w:rPr>
          <w:rFonts w:asciiTheme="minorHAnsi" w:hAnsiTheme="minorHAnsi" w:cstheme="minorHAnsi"/>
          <w:sz w:val="22"/>
          <w:szCs w:val="22"/>
          <w:lang w:val="es-ES"/>
        </w:rPr>
      </w:pPr>
      <w:r w:rsidRPr="0036773C">
        <w:rPr>
          <w:rFonts w:asciiTheme="minorHAnsi" w:hAnsiTheme="minorHAnsi" w:cstheme="minorHAnsi"/>
          <w:sz w:val="22"/>
          <w:szCs w:val="22"/>
          <w:lang w:val="es-ES"/>
        </w:rPr>
        <w:t>Recopilar datos relevantes del sector y de</w:t>
      </w:r>
      <w:r>
        <w:rPr>
          <w:rFonts w:asciiTheme="minorHAnsi" w:hAnsiTheme="minorHAnsi" w:cstheme="minorHAnsi"/>
          <w:sz w:val="22"/>
          <w:szCs w:val="22"/>
          <w:lang w:val="es-ES"/>
        </w:rPr>
        <w:t xml:space="preserve"> los</w:t>
      </w:r>
      <w:r w:rsidRPr="0036773C">
        <w:rPr>
          <w:rFonts w:asciiTheme="minorHAnsi" w:hAnsiTheme="minorHAnsi" w:cstheme="minorHAnsi"/>
          <w:sz w:val="22"/>
          <w:szCs w:val="22"/>
          <w:lang w:val="es-ES"/>
        </w:rPr>
        <w:t xml:space="preserve"> país</w:t>
      </w:r>
      <w:r>
        <w:rPr>
          <w:rFonts w:asciiTheme="minorHAnsi" w:hAnsiTheme="minorHAnsi" w:cstheme="minorHAnsi"/>
          <w:sz w:val="22"/>
          <w:szCs w:val="22"/>
          <w:lang w:val="es-ES"/>
        </w:rPr>
        <w:t>es miembros de</w:t>
      </w:r>
      <w:r w:rsidRPr="0036773C">
        <w:rPr>
          <w:rFonts w:asciiTheme="minorHAnsi" w:hAnsiTheme="minorHAnsi" w:cstheme="minorHAnsi"/>
          <w:sz w:val="22"/>
          <w:szCs w:val="22"/>
          <w:lang w:val="es-ES"/>
        </w:rPr>
        <w:t xml:space="preserve"> RELAC, trabajando con las partes interesadas regionales, OLADE y el BID según sea necesario y por iniciativa del consultor, poblar las herramientas analíticas, aplicar las herramientas para modelar escenarios, analizar los resultados y producir borradores de resultados del proyecto. Los análisis se basarán en datos públicos disponibles, estudios, planes nacionales de energía, prospectiva sectorial, objetivos de política energética y climática e investigación de fuentes nacionales e internacionales. </w:t>
      </w:r>
      <w:r w:rsidRPr="003651E4">
        <w:rPr>
          <w:rFonts w:asciiTheme="minorHAnsi" w:hAnsiTheme="minorHAnsi" w:cstheme="minorHAnsi"/>
          <w:sz w:val="22"/>
          <w:szCs w:val="22"/>
          <w:u w:val="single"/>
          <w:lang w:val="es-ES"/>
        </w:rPr>
        <w:t>Producto</w:t>
      </w:r>
      <w:r w:rsidRPr="0036773C">
        <w:rPr>
          <w:rFonts w:asciiTheme="minorHAnsi" w:hAnsiTheme="minorHAnsi" w:cstheme="minorHAnsi"/>
          <w:sz w:val="22"/>
          <w:szCs w:val="22"/>
          <w:lang w:val="es-ES"/>
        </w:rPr>
        <w:t>: Borrador de análisis de</w:t>
      </w:r>
      <w:r w:rsidR="003651E4">
        <w:rPr>
          <w:rFonts w:asciiTheme="minorHAnsi" w:hAnsiTheme="minorHAnsi" w:cstheme="minorHAnsi"/>
          <w:sz w:val="22"/>
          <w:szCs w:val="22"/>
          <w:lang w:val="es-ES"/>
        </w:rPr>
        <w:t xml:space="preserve"> escenarios</w:t>
      </w:r>
      <w:r w:rsidRPr="0036773C">
        <w:rPr>
          <w:rFonts w:asciiTheme="minorHAnsi" w:hAnsiTheme="minorHAnsi" w:cstheme="minorHAnsi"/>
          <w:sz w:val="22"/>
          <w:szCs w:val="22"/>
          <w:lang w:val="es-ES"/>
        </w:rPr>
        <w:t xml:space="preserve"> </w:t>
      </w:r>
      <w:r w:rsidR="003651E4">
        <w:rPr>
          <w:rFonts w:asciiTheme="minorHAnsi" w:hAnsiTheme="minorHAnsi" w:cstheme="minorHAnsi"/>
          <w:sz w:val="22"/>
          <w:szCs w:val="22"/>
          <w:lang w:val="es-ES"/>
        </w:rPr>
        <w:t>y</w:t>
      </w:r>
      <w:r w:rsidRPr="0036773C">
        <w:rPr>
          <w:rFonts w:asciiTheme="minorHAnsi" w:hAnsiTheme="minorHAnsi" w:cstheme="minorHAnsi"/>
          <w:sz w:val="22"/>
          <w:szCs w:val="22"/>
          <w:lang w:val="es-ES"/>
        </w:rPr>
        <w:t xml:space="preserve"> </w:t>
      </w:r>
      <w:r w:rsidR="003651E4">
        <w:rPr>
          <w:rFonts w:asciiTheme="minorHAnsi" w:hAnsiTheme="minorHAnsi" w:cstheme="minorHAnsi"/>
          <w:sz w:val="22"/>
          <w:szCs w:val="22"/>
          <w:lang w:val="es-ES"/>
        </w:rPr>
        <w:t>trayectorias</w:t>
      </w:r>
      <w:r w:rsidRPr="0036773C">
        <w:rPr>
          <w:rFonts w:asciiTheme="minorHAnsi" w:hAnsiTheme="minorHAnsi" w:cstheme="minorHAnsi"/>
          <w:sz w:val="22"/>
          <w:szCs w:val="22"/>
          <w:lang w:val="es-ES"/>
        </w:rPr>
        <w:t xml:space="preserve"> de descarbonización del sector energético y opciones de </w:t>
      </w:r>
      <w:r w:rsidR="003651E4">
        <w:rPr>
          <w:rFonts w:asciiTheme="minorHAnsi" w:hAnsiTheme="minorHAnsi" w:cstheme="minorHAnsi"/>
          <w:sz w:val="22"/>
          <w:szCs w:val="22"/>
          <w:lang w:val="es-ES"/>
        </w:rPr>
        <w:t xml:space="preserve">metas </w:t>
      </w:r>
      <w:r w:rsidR="00854CAF">
        <w:rPr>
          <w:rFonts w:asciiTheme="minorHAnsi" w:hAnsiTheme="minorHAnsi" w:cstheme="minorHAnsi"/>
          <w:sz w:val="22"/>
          <w:szCs w:val="22"/>
          <w:lang w:val="es-ES"/>
        </w:rPr>
        <w:t>a nivel RELAC</w:t>
      </w:r>
      <w:r w:rsidRPr="0036773C">
        <w:rPr>
          <w:rFonts w:asciiTheme="minorHAnsi" w:hAnsiTheme="minorHAnsi" w:cstheme="minorHAnsi"/>
          <w:sz w:val="22"/>
          <w:szCs w:val="22"/>
          <w:lang w:val="es-ES"/>
        </w:rPr>
        <w:t>. Debe contener un escenario de referencia o base de referencia, y escenarios alternativos de descarbonización que incluyan supuestos detallados en términos de acciones políticas, inversiones y beneficios potenciales</w:t>
      </w:r>
      <w:r w:rsidR="00C1497F" w:rsidRPr="0036773C">
        <w:rPr>
          <w:rFonts w:asciiTheme="minorHAnsi" w:hAnsiTheme="minorHAnsi" w:cstheme="minorHAnsi"/>
          <w:sz w:val="22"/>
          <w:szCs w:val="22"/>
          <w:lang w:val="es-ES"/>
        </w:rPr>
        <w:t>.</w:t>
      </w:r>
    </w:p>
    <w:p w14:paraId="5973F819" w14:textId="77777777" w:rsidR="002162D7" w:rsidRPr="0036773C" w:rsidRDefault="002162D7" w:rsidP="00F471BA">
      <w:pPr>
        <w:pStyle w:val="Prrafodelista"/>
        <w:rPr>
          <w:rFonts w:asciiTheme="minorHAnsi" w:hAnsiTheme="minorHAnsi" w:cstheme="minorHAnsi"/>
          <w:sz w:val="22"/>
          <w:szCs w:val="22"/>
          <w:lang w:val="es-ES"/>
        </w:rPr>
      </w:pPr>
    </w:p>
    <w:p w14:paraId="70F4091D" w14:textId="4E31EEA9" w:rsidR="00775745" w:rsidRPr="00B1331F" w:rsidRDefault="00B1331F" w:rsidP="00F61FF7">
      <w:pPr>
        <w:pStyle w:val="Prrafodelista"/>
        <w:numPr>
          <w:ilvl w:val="1"/>
          <w:numId w:val="1"/>
        </w:numPr>
        <w:jc w:val="both"/>
        <w:rPr>
          <w:rFonts w:asciiTheme="minorHAnsi" w:hAnsiTheme="minorHAnsi" w:cstheme="minorHAnsi"/>
          <w:sz w:val="22"/>
          <w:szCs w:val="22"/>
          <w:lang w:val="es-ES"/>
        </w:rPr>
      </w:pPr>
      <w:r w:rsidRPr="00B1331F">
        <w:rPr>
          <w:rStyle w:val="rynqvb"/>
          <w:rFonts w:asciiTheme="minorHAnsi" w:hAnsiTheme="minorHAnsi" w:cstheme="minorHAnsi"/>
          <w:sz w:val="22"/>
          <w:szCs w:val="22"/>
          <w:lang w:val="es-ES"/>
        </w:rPr>
        <w:t xml:space="preserve">Proponer los indicadores más apropiados para </w:t>
      </w:r>
      <w:r>
        <w:rPr>
          <w:rStyle w:val="rynqvb"/>
          <w:rFonts w:asciiTheme="minorHAnsi" w:hAnsiTheme="minorHAnsi" w:cstheme="minorHAnsi"/>
          <w:sz w:val="22"/>
          <w:szCs w:val="22"/>
          <w:lang w:val="es-ES"/>
        </w:rPr>
        <w:t>monitorear</w:t>
      </w:r>
      <w:r w:rsidRPr="00B1331F">
        <w:rPr>
          <w:rStyle w:val="rynqvb"/>
          <w:rFonts w:asciiTheme="minorHAnsi" w:hAnsiTheme="minorHAnsi" w:cstheme="minorHAnsi"/>
          <w:sz w:val="22"/>
          <w:szCs w:val="22"/>
          <w:lang w:val="es-ES"/>
        </w:rPr>
        <w:t xml:space="preserve"> el progreso de la descarbonización del sector energético en los países seleccionados</w:t>
      </w:r>
      <w:r w:rsidR="008A139F" w:rsidRPr="00B1331F">
        <w:rPr>
          <w:rStyle w:val="rynqvb"/>
          <w:rFonts w:asciiTheme="minorHAnsi" w:hAnsiTheme="minorHAnsi" w:cstheme="minorHAnsi"/>
          <w:sz w:val="22"/>
          <w:szCs w:val="22"/>
          <w:lang w:val="es-ES"/>
        </w:rPr>
        <w:t>.</w:t>
      </w:r>
      <w:r w:rsidR="00C1497F" w:rsidRPr="00B1331F">
        <w:rPr>
          <w:rFonts w:asciiTheme="minorHAnsi" w:hAnsiTheme="minorHAnsi" w:cstheme="minorHAnsi"/>
          <w:sz w:val="22"/>
          <w:szCs w:val="22"/>
          <w:lang w:val="es-ES"/>
        </w:rPr>
        <w:t xml:space="preserve"> </w:t>
      </w:r>
    </w:p>
    <w:p w14:paraId="6C7B34E6" w14:textId="77777777" w:rsidR="000D57EC" w:rsidRPr="00B1331F" w:rsidRDefault="000D57EC" w:rsidP="000D57EC">
      <w:pPr>
        <w:pStyle w:val="Prrafodelista"/>
        <w:rPr>
          <w:rFonts w:asciiTheme="minorHAnsi" w:hAnsiTheme="minorHAnsi" w:cstheme="minorHAnsi"/>
          <w:sz w:val="22"/>
          <w:szCs w:val="22"/>
          <w:lang w:val="es-ES"/>
        </w:rPr>
      </w:pPr>
    </w:p>
    <w:p w14:paraId="3DB1CB64" w14:textId="21F851CD" w:rsidR="00CF6541" w:rsidRPr="00857519" w:rsidRDefault="00857519" w:rsidP="000D57EC">
      <w:pPr>
        <w:pStyle w:val="Prrafodelista"/>
        <w:numPr>
          <w:ilvl w:val="1"/>
          <w:numId w:val="1"/>
        </w:numPr>
        <w:jc w:val="both"/>
        <w:rPr>
          <w:rFonts w:asciiTheme="minorHAnsi" w:hAnsiTheme="minorHAnsi" w:cstheme="minorHAnsi"/>
          <w:sz w:val="22"/>
          <w:szCs w:val="22"/>
          <w:lang w:val="es-ES"/>
        </w:rPr>
      </w:pPr>
      <w:r w:rsidRPr="00857519">
        <w:rPr>
          <w:rFonts w:asciiTheme="minorHAnsi" w:hAnsiTheme="minorHAnsi" w:cstheme="minorHAnsi"/>
          <w:sz w:val="22"/>
          <w:szCs w:val="22"/>
          <w:lang w:val="es-ES"/>
        </w:rPr>
        <w:t xml:space="preserve">Recoger los comentarios sobre los resultados del proyecto de los países miembros de la RELAC y otras partes interesadas, según sea necesario, y finalizar los resultados del proyecto sobre las vías de descarbonización para ALC y las opciones de objetivos. </w:t>
      </w:r>
      <w:r w:rsidRPr="00857519">
        <w:rPr>
          <w:rFonts w:asciiTheme="minorHAnsi" w:hAnsiTheme="minorHAnsi" w:cstheme="minorHAnsi"/>
          <w:sz w:val="22"/>
          <w:szCs w:val="22"/>
          <w:u w:val="single"/>
          <w:lang w:val="es-ES"/>
        </w:rPr>
        <w:t>Producto</w:t>
      </w:r>
      <w:r w:rsidRPr="00857519">
        <w:rPr>
          <w:rFonts w:asciiTheme="minorHAnsi" w:hAnsiTheme="minorHAnsi" w:cstheme="minorHAnsi"/>
          <w:sz w:val="22"/>
          <w:szCs w:val="22"/>
          <w:lang w:val="es-ES"/>
        </w:rPr>
        <w:t xml:space="preserve">: Análisis final de las </w:t>
      </w:r>
      <w:r>
        <w:rPr>
          <w:rFonts w:asciiTheme="minorHAnsi" w:hAnsiTheme="minorHAnsi" w:cstheme="minorHAnsi"/>
          <w:sz w:val="22"/>
          <w:szCs w:val="22"/>
          <w:lang w:val="es-ES"/>
        </w:rPr>
        <w:t>trayectorias</w:t>
      </w:r>
      <w:r w:rsidRPr="00857519">
        <w:rPr>
          <w:rFonts w:asciiTheme="minorHAnsi" w:hAnsiTheme="minorHAnsi" w:cstheme="minorHAnsi"/>
          <w:sz w:val="22"/>
          <w:szCs w:val="22"/>
          <w:lang w:val="es-ES"/>
        </w:rPr>
        <w:t xml:space="preserve"> de descarbonización del sector energético para ALC y propuesta de opciones para </w:t>
      </w:r>
      <w:r>
        <w:rPr>
          <w:rFonts w:asciiTheme="minorHAnsi" w:hAnsiTheme="minorHAnsi" w:cstheme="minorHAnsi"/>
          <w:sz w:val="22"/>
          <w:szCs w:val="22"/>
          <w:lang w:val="es-ES"/>
        </w:rPr>
        <w:t>una meta</w:t>
      </w:r>
      <w:r w:rsidRPr="00857519">
        <w:rPr>
          <w:rFonts w:asciiTheme="minorHAnsi" w:hAnsiTheme="minorHAnsi" w:cstheme="minorHAnsi"/>
          <w:sz w:val="22"/>
          <w:szCs w:val="22"/>
          <w:lang w:val="es-ES"/>
        </w:rPr>
        <w:t xml:space="preserve"> del sector energético. Incluir un respaldo narrativo y cuantitativo. La documentación debe incluir anexos que describan la metodología, los supuestos clave y las fuentes de datos utilizadas. También podrán aceptarse formatos alternativos a los propuestos en la propuesta del consultor, si se acuerda previamente. Discutir el escenario base y los escenarios de descarbonización, esbozando de forma transparente los supuestos clave (tecnología congelada o políticas actuales, incluidas las NDC) y las sensibilidades. El análisis incluirá resultados para los 16 países de la RELAC y para toda la región de ALC (</w:t>
      </w:r>
      <w:r w:rsidR="00012A20">
        <w:rPr>
          <w:rFonts w:asciiTheme="minorHAnsi" w:hAnsiTheme="minorHAnsi" w:cstheme="minorHAnsi"/>
          <w:sz w:val="22"/>
          <w:szCs w:val="22"/>
          <w:lang w:val="es-ES"/>
        </w:rPr>
        <w:t>esta última com</w:t>
      </w:r>
      <w:r w:rsidR="00B730DC">
        <w:rPr>
          <w:rFonts w:asciiTheme="minorHAnsi" w:hAnsiTheme="minorHAnsi" w:cstheme="minorHAnsi"/>
          <w:sz w:val="22"/>
          <w:szCs w:val="22"/>
          <w:lang w:val="es-ES"/>
        </w:rPr>
        <w:t>o una opción que se presupuesta de manera separada en la oferta financiera del consultor)</w:t>
      </w:r>
      <w:r w:rsidRPr="00857519">
        <w:rPr>
          <w:rFonts w:asciiTheme="minorHAnsi" w:hAnsiTheme="minorHAnsi" w:cstheme="minorHAnsi"/>
          <w:sz w:val="22"/>
          <w:szCs w:val="22"/>
          <w:lang w:val="es-ES"/>
        </w:rPr>
        <w:t xml:space="preserve"> y desglosados por sectores y, si es posible, para países individuales o grupos de países</w:t>
      </w:r>
      <w:r w:rsidR="00CF6541" w:rsidRPr="00857519">
        <w:rPr>
          <w:rFonts w:asciiTheme="minorHAnsi" w:hAnsiTheme="minorHAnsi" w:cstheme="minorHAnsi"/>
          <w:sz w:val="22"/>
          <w:szCs w:val="22"/>
          <w:lang w:val="es-ES"/>
        </w:rPr>
        <w:t>.</w:t>
      </w:r>
    </w:p>
    <w:p w14:paraId="15AD6D2D" w14:textId="77777777" w:rsidR="002162D7" w:rsidRPr="00857519" w:rsidRDefault="002162D7" w:rsidP="003865D6">
      <w:pPr>
        <w:pStyle w:val="Prrafodelista"/>
        <w:rPr>
          <w:rFonts w:asciiTheme="minorHAnsi" w:hAnsiTheme="minorHAnsi" w:cstheme="minorHAnsi"/>
          <w:sz w:val="22"/>
          <w:szCs w:val="22"/>
          <w:lang w:val="es-ES"/>
        </w:rPr>
      </w:pPr>
    </w:p>
    <w:p w14:paraId="66591646" w14:textId="1C6BAAC4" w:rsidR="00A27784" w:rsidRPr="004A4B64" w:rsidRDefault="004A4B64" w:rsidP="00CF6541">
      <w:pPr>
        <w:pStyle w:val="Prrafodelista"/>
        <w:numPr>
          <w:ilvl w:val="1"/>
          <w:numId w:val="1"/>
        </w:numPr>
        <w:spacing w:after="200"/>
        <w:jc w:val="both"/>
        <w:rPr>
          <w:rFonts w:asciiTheme="minorHAnsi" w:hAnsiTheme="minorHAnsi" w:cstheme="minorHAnsi"/>
          <w:sz w:val="22"/>
          <w:szCs w:val="22"/>
          <w:lang w:val="es-ES"/>
        </w:rPr>
      </w:pPr>
      <w:r w:rsidRPr="004A4B64">
        <w:rPr>
          <w:rFonts w:asciiTheme="minorHAnsi" w:hAnsiTheme="minorHAnsi" w:cstheme="minorHAnsi"/>
          <w:sz w:val="22"/>
          <w:szCs w:val="22"/>
          <w:lang w:val="es-ES"/>
        </w:rPr>
        <w:t xml:space="preserve">Proporcionar formación </w:t>
      </w:r>
      <w:r>
        <w:rPr>
          <w:rFonts w:asciiTheme="minorHAnsi" w:hAnsiTheme="minorHAnsi" w:cstheme="minorHAnsi"/>
          <w:sz w:val="22"/>
          <w:szCs w:val="22"/>
          <w:lang w:val="es-ES"/>
        </w:rPr>
        <w:t xml:space="preserve">y entrenamiento </w:t>
      </w:r>
      <w:r w:rsidRPr="004A4B64">
        <w:rPr>
          <w:rFonts w:asciiTheme="minorHAnsi" w:hAnsiTheme="minorHAnsi" w:cstheme="minorHAnsi"/>
          <w:sz w:val="22"/>
          <w:szCs w:val="22"/>
          <w:lang w:val="es-ES"/>
        </w:rPr>
        <w:t>a los países de la RELAC sobre la metodología y las herramientas de prospectiva energética utilizadas en la preparación de escenarios de referencia y de descarbonización.</w:t>
      </w:r>
      <w:r w:rsidR="002162D7" w:rsidRPr="004A4B64">
        <w:rPr>
          <w:rFonts w:asciiTheme="minorHAnsi" w:hAnsiTheme="minorHAnsi" w:cstheme="minorHAnsi"/>
          <w:sz w:val="22"/>
          <w:szCs w:val="22"/>
          <w:lang w:val="es-ES"/>
        </w:rPr>
        <w:t xml:space="preserve"> </w:t>
      </w:r>
      <w:r w:rsidR="005E7A84" w:rsidRPr="004A4B64">
        <w:rPr>
          <w:rFonts w:asciiTheme="minorHAnsi" w:hAnsiTheme="minorHAnsi" w:cstheme="minorHAnsi"/>
          <w:sz w:val="22"/>
          <w:szCs w:val="22"/>
          <w:lang w:val="es-ES"/>
        </w:rPr>
        <w:t xml:space="preserve"> </w:t>
      </w:r>
    </w:p>
    <w:p w14:paraId="386934A0" w14:textId="77777777" w:rsidR="00445D7C" w:rsidRPr="004A4B64" w:rsidRDefault="00445D7C" w:rsidP="00A27784">
      <w:pPr>
        <w:spacing w:line="276" w:lineRule="auto"/>
        <w:ind w:left="792"/>
        <w:contextualSpacing/>
        <w:rPr>
          <w:rFonts w:ascii="Calibri" w:eastAsiaTheme="minorHAnsi" w:hAnsi="Calibri" w:cs="Calibri"/>
          <w:b/>
          <w:sz w:val="22"/>
          <w:szCs w:val="22"/>
          <w:lang w:val="es-ES"/>
        </w:rPr>
      </w:pPr>
    </w:p>
    <w:p w14:paraId="66591647" w14:textId="3E10F9AA" w:rsidR="00A27784" w:rsidRPr="00242312" w:rsidRDefault="00242312" w:rsidP="00A27784">
      <w:pPr>
        <w:widowControl w:val="0"/>
        <w:numPr>
          <w:ilvl w:val="0"/>
          <w:numId w:val="1"/>
        </w:numPr>
        <w:spacing w:after="200" w:line="276" w:lineRule="auto"/>
        <w:contextualSpacing/>
        <w:rPr>
          <w:rFonts w:ascii="Calibri" w:eastAsiaTheme="minorHAnsi" w:hAnsi="Calibri" w:cs="Calibri"/>
          <w:b/>
          <w:sz w:val="22"/>
          <w:szCs w:val="22"/>
          <w:u w:val="single"/>
          <w:lang w:val="es-ES"/>
        </w:rPr>
      </w:pPr>
      <w:r w:rsidRPr="00242312">
        <w:rPr>
          <w:rFonts w:ascii="Calibri" w:eastAsiaTheme="minorHAnsi" w:hAnsi="Calibri" w:cs="Calibri"/>
          <w:b/>
          <w:sz w:val="22"/>
          <w:szCs w:val="22"/>
          <w:u w:val="single"/>
          <w:lang w:val="es-ES"/>
        </w:rPr>
        <w:t>Resultados y productos esperados</w:t>
      </w:r>
    </w:p>
    <w:p w14:paraId="6659164C" w14:textId="1CF76427" w:rsidR="0066187B" w:rsidRPr="00242312" w:rsidRDefault="0066187B" w:rsidP="00204E88">
      <w:pPr>
        <w:rPr>
          <w:rFonts w:ascii="Calibri" w:eastAsiaTheme="minorHAnsi" w:hAnsi="Calibri" w:cs="Calibri"/>
          <w:sz w:val="22"/>
          <w:szCs w:val="22"/>
          <w:lang w:val="es-ES"/>
        </w:rPr>
      </w:pPr>
    </w:p>
    <w:p w14:paraId="39DAA387" w14:textId="77777777" w:rsidR="00242312" w:rsidRPr="00242312" w:rsidRDefault="00242312" w:rsidP="00242312">
      <w:pPr>
        <w:pStyle w:val="Prrafodelista"/>
        <w:rPr>
          <w:rFonts w:ascii="Calibri" w:eastAsiaTheme="minorHAnsi" w:hAnsi="Calibri" w:cs="Calibri"/>
          <w:sz w:val="22"/>
          <w:szCs w:val="22"/>
          <w:lang w:val="es-ES"/>
        </w:rPr>
      </w:pPr>
      <w:r w:rsidRPr="00242312">
        <w:rPr>
          <w:rFonts w:ascii="Calibri" w:eastAsiaTheme="minorHAnsi" w:hAnsi="Calibri" w:cs="Calibri"/>
          <w:sz w:val="22"/>
          <w:szCs w:val="22"/>
          <w:lang w:val="es-ES"/>
        </w:rPr>
        <w:t>4.1 Entregable 1: Informe inicial y metodología.</w:t>
      </w:r>
    </w:p>
    <w:p w14:paraId="13C05733" w14:textId="77777777" w:rsidR="00242312" w:rsidRPr="00242312" w:rsidRDefault="00242312" w:rsidP="00242312">
      <w:pPr>
        <w:pStyle w:val="Prrafodelista"/>
        <w:rPr>
          <w:rFonts w:ascii="Calibri" w:eastAsiaTheme="minorHAnsi" w:hAnsi="Calibri" w:cs="Calibri"/>
          <w:sz w:val="22"/>
          <w:szCs w:val="22"/>
          <w:lang w:val="es-ES"/>
        </w:rPr>
      </w:pPr>
      <w:r w:rsidRPr="00242312">
        <w:rPr>
          <w:rFonts w:ascii="Calibri" w:eastAsiaTheme="minorHAnsi" w:hAnsi="Calibri" w:cs="Calibri"/>
          <w:sz w:val="22"/>
          <w:szCs w:val="22"/>
          <w:lang w:val="es-ES"/>
        </w:rPr>
        <w:t>4.2 Entregable 2: Primer borrador de vías de descarbonización, indicadores de seguimiento correspondientes y opciones de objetivos de cuota de ER (documento Word que incluye visualización de resultados).</w:t>
      </w:r>
    </w:p>
    <w:p w14:paraId="54DDFB3F" w14:textId="77777777" w:rsidR="00242312" w:rsidRPr="00242312" w:rsidRDefault="00242312" w:rsidP="00242312">
      <w:pPr>
        <w:pStyle w:val="Prrafodelista"/>
        <w:rPr>
          <w:rFonts w:ascii="Calibri" w:eastAsiaTheme="minorHAnsi" w:hAnsi="Calibri" w:cs="Calibri"/>
          <w:sz w:val="22"/>
          <w:szCs w:val="22"/>
          <w:lang w:val="es-ES"/>
        </w:rPr>
      </w:pPr>
      <w:r w:rsidRPr="00242312">
        <w:rPr>
          <w:rFonts w:ascii="Calibri" w:eastAsiaTheme="minorHAnsi" w:hAnsi="Calibri" w:cs="Calibri"/>
          <w:sz w:val="22"/>
          <w:szCs w:val="22"/>
          <w:lang w:val="es-ES"/>
        </w:rPr>
        <w:t>4.3 Entregable 3: Taller de formación.</w:t>
      </w:r>
    </w:p>
    <w:p w14:paraId="4820A833" w14:textId="62FC70CF" w:rsidR="00584665" w:rsidRDefault="00242312" w:rsidP="00242312">
      <w:pPr>
        <w:pStyle w:val="Prrafodelista"/>
        <w:rPr>
          <w:rFonts w:ascii="Calibri" w:eastAsiaTheme="minorHAnsi" w:hAnsi="Calibri" w:cs="Calibri"/>
          <w:sz w:val="22"/>
          <w:szCs w:val="22"/>
          <w:lang w:val="es-ES"/>
        </w:rPr>
      </w:pPr>
      <w:r w:rsidRPr="00242312">
        <w:rPr>
          <w:rFonts w:ascii="Calibri" w:eastAsiaTheme="minorHAnsi" w:hAnsi="Calibri" w:cs="Calibri"/>
          <w:sz w:val="22"/>
          <w:szCs w:val="22"/>
          <w:lang w:val="es-ES"/>
        </w:rPr>
        <w:t>4.4 Entregable 4: Informe final (documento Word y presentación PowerPoint).</w:t>
      </w:r>
    </w:p>
    <w:p w14:paraId="24F938ED" w14:textId="77777777" w:rsidR="00242312" w:rsidRPr="00242312" w:rsidRDefault="00242312" w:rsidP="00242312">
      <w:pPr>
        <w:pStyle w:val="Prrafodelista"/>
        <w:rPr>
          <w:rFonts w:ascii="Calibri" w:eastAsiaTheme="minorHAnsi" w:hAnsi="Calibri" w:cs="Calibri"/>
          <w:sz w:val="22"/>
          <w:szCs w:val="22"/>
          <w:lang w:val="es-ES"/>
        </w:rPr>
      </w:pPr>
    </w:p>
    <w:p w14:paraId="6659164D" w14:textId="076F6ADA" w:rsidR="00A27784" w:rsidRPr="002D3B08" w:rsidRDefault="002D3B08" w:rsidP="00A27784">
      <w:pPr>
        <w:widowControl w:val="0"/>
        <w:numPr>
          <w:ilvl w:val="0"/>
          <w:numId w:val="1"/>
        </w:numPr>
        <w:spacing w:after="200" w:line="276" w:lineRule="auto"/>
        <w:contextualSpacing/>
        <w:rPr>
          <w:rFonts w:ascii="Calibri" w:eastAsiaTheme="minorHAnsi" w:hAnsi="Calibri" w:cs="Calibri"/>
          <w:b/>
          <w:sz w:val="22"/>
          <w:szCs w:val="22"/>
          <w:u w:val="single"/>
          <w:lang w:val="es-ES"/>
        </w:rPr>
      </w:pPr>
      <w:r w:rsidRPr="002D3B08">
        <w:rPr>
          <w:rFonts w:ascii="Calibri" w:eastAsiaTheme="minorHAnsi" w:hAnsi="Calibri" w:cs="Calibri"/>
          <w:b/>
          <w:sz w:val="22"/>
          <w:szCs w:val="22"/>
          <w:u w:val="single"/>
          <w:lang w:val="es-ES"/>
        </w:rPr>
        <w:t>Calendario e hitos del proyecto</w:t>
      </w:r>
    </w:p>
    <w:p w14:paraId="6659164E" w14:textId="77777777" w:rsidR="00A27784" w:rsidRPr="002D3B08" w:rsidRDefault="00A27784" w:rsidP="00A27784">
      <w:pPr>
        <w:spacing w:line="276" w:lineRule="auto"/>
        <w:ind w:left="360"/>
        <w:contextualSpacing/>
        <w:rPr>
          <w:rFonts w:ascii="Calibri" w:eastAsiaTheme="minorHAnsi" w:hAnsi="Calibri" w:cs="Calibri"/>
          <w:b/>
          <w:sz w:val="22"/>
          <w:szCs w:val="22"/>
          <w:u w:val="single"/>
          <w:lang w:val="es-ES"/>
        </w:rPr>
      </w:pPr>
    </w:p>
    <w:p w14:paraId="54C68571" w14:textId="77777777" w:rsidR="002D3B08" w:rsidRPr="002D3B08" w:rsidRDefault="002D3B08" w:rsidP="002D3B08">
      <w:pPr>
        <w:spacing w:line="276" w:lineRule="auto"/>
        <w:ind w:left="360"/>
        <w:contextualSpacing/>
        <w:jc w:val="both"/>
        <w:rPr>
          <w:rFonts w:ascii="Calibri" w:eastAsiaTheme="minorHAnsi" w:hAnsi="Calibri" w:cs="Calibri"/>
          <w:iCs/>
          <w:sz w:val="22"/>
          <w:szCs w:val="22"/>
          <w:lang w:val="es-ES"/>
        </w:rPr>
      </w:pPr>
      <w:r w:rsidRPr="002D3B08">
        <w:rPr>
          <w:rFonts w:ascii="Calibri" w:eastAsiaTheme="minorHAnsi" w:hAnsi="Calibri" w:cs="Calibri"/>
          <w:iCs/>
          <w:sz w:val="22"/>
          <w:szCs w:val="22"/>
          <w:lang w:val="es-ES"/>
        </w:rPr>
        <w:t>5.1 Entregable 1: 10 días después de la firma del contrato.</w:t>
      </w:r>
    </w:p>
    <w:p w14:paraId="5EFA2C2C" w14:textId="77777777" w:rsidR="002D3B08" w:rsidRPr="002D3B08" w:rsidRDefault="002D3B08" w:rsidP="002D3B08">
      <w:pPr>
        <w:spacing w:line="276" w:lineRule="auto"/>
        <w:ind w:left="360"/>
        <w:contextualSpacing/>
        <w:jc w:val="both"/>
        <w:rPr>
          <w:rFonts w:ascii="Calibri" w:eastAsiaTheme="minorHAnsi" w:hAnsi="Calibri" w:cs="Calibri"/>
          <w:iCs/>
          <w:sz w:val="22"/>
          <w:szCs w:val="22"/>
          <w:lang w:val="es-ES"/>
        </w:rPr>
      </w:pPr>
      <w:r w:rsidRPr="002D3B08">
        <w:rPr>
          <w:rFonts w:ascii="Calibri" w:eastAsiaTheme="minorHAnsi" w:hAnsi="Calibri" w:cs="Calibri"/>
          <w:iCs/>
          <w:sz w:val="22"/>
          <w:szCs w:val="22"/>
          <w:lang w:val="es-ES"/>
        </w:rPr>
        <w:t xml:space="preserve">5.2 Entregable 2: 40 días después de la presentación del Entregable </w:t>
      </w:r>
      <w:proofErr w:type="spellStart"/>
      <w:r w:rsidRPr="002D3B08">
        <w:rPr>
          <w:rFonts w:ascii="Calibri" w:eastAsiaTheme="minorHAnsi" w:hAnsi="Calibri" w:cs="Calibri"/>
          <w:iCs/>
          <w:sz w:val="22"/>
          <w:szCs w:val="22"/>
          <w:lang w:val="es-ES"/>
        </w:rPr>
        <w:t>nº</w:t>
      </w:r>
      <w:proofErr w:type="spellEnd"/>
      <w:r w:rsidRPr="002D3B08">
        <w:rPr>
          <w:rFonts w:ascii="Calibri" w:eastAsiaTheme="minorHAnsi" w:hAnsi="Calibri" w:cs="Calibri"/>
          <w:iCs/>
          <w:sz w:val="22"/>
          <w:szCs w:val="22"/>
          <w:lang w:val="es-ES"/>
        </w:rPr>
        <w:t xml:space="preserve"> 1.</w:t>
      </w:r>
    </w:p>
    <w:p w14:paraId="3E7D71F2" w14:textId="77777777" w:rsidR="002D3B08" w:rsidRPr="002D3B08" w:rsidRDefault="002D3B08" w:rsidP="002D3B08">
      <w:pPr>
        <w:spacing w:line="276" w:lineRule="auto"/>
        <w:ind w:left="360"/>
        <w:contextualSpacing/>
        <w:jc w:val="both"/>
        <w:rPr>
          <w:rFonts w:ascii="Calibri" w:eastAsiaTheme="minorHAnsi" w:hAnsi="Calibri" w:cs="Calibri"/>
          <w:iCs/>
          <w:sz w:val="22"/>
          <w:szCs w:val="22"/>
          <w:lang w:val="es-ES"/>
        </w:rPr>
      </w:pPr>
      <w:r w:rsidRPr="002D3B08">
        <w:rPr>
          <w:rFonts w:ascii="Calibri" w:eastAsiaTheme="minorHAnsi" w:hAnsi="Calibri" w:cs="Calibri"/>
          <w:iCs/>
          <w:sz w:val="22"/>
          <w:szCs w:val="22"/>
          <w:lang w:val="es-ES"/>
        </w:rPr>
        <w:t xml:space="preserve">5.2 Entregable 3: 8 días después de la presentación del Entregable </w:t>
      </w:r>
      <w:proofErr w:type="spellStart"/>
      <w:r w:rsidRPr="002D3B08">
        <w:rPr>
          <w:rFonts w:ascii="Calibri" w:eastAsiaTheme="minorHAnsi" w:hAnsi="Calibri" w:cs="Calibri"/>
          <w:iCs/>
          <w:sz w:val="22"/>
          <w:szCs w:val="22"/>
          <w:lang w:val="es-ES"/>
        </w:rPr>
        <w:t>nº</w:t>
      </w:r>
      <w:proofErr w:type="spellEnd"/>
      <w:r w:rsidRPr="002D3B08">
        <w:rPr>
          <w:rFonts w:ascii="Calibri" w:eastAsiaTheme="minorHAnsi" w:hAnsi="Calibri" w:cs="Calibri"/>
          <w:iCs/>
          <w:sz w:val="22"/>
          <w:szCs w:val="22"/>
          <w:lang w:val="es-ES"/>
        </w:rPr>
        <w:t xml:space="preserve"> 2.</w:t>
      </w:r>
    </w:p>
    <w:p w14:paraId="66591650" w14:textId="6D892235" w:rsidR="00A27784" w:rsidRDefault="002D3B08" w:rsidP="002D3B08">
      <w:pPr>
        <w:spacing w:line="276" w:lineRule="auto"/>
        <w:ind w:left="360"/>
        <w:contextualSpacing/>
        <w:jc w:val="both"/>
        <w:rPr>
          <w:rFonts w:ascii="Calibri" w:eastAsiaTheme="minorHAnsi" w:hAnsi="Calibri" w:cs="Calibri"/>
          <w:iCs/>
          <w:sz w:val="22"/>
          <w:szCs w:val="22"/>
          <w:lang w:val="es-ES"/>
        </w:rPr>
      </w:pPr>
      <w:r w:rsidRPr="002D3B08">
        <w:rPr>
          <w:rFonts w:ascii="Calibri" w:eastAsiaTheme="minorHAnsi" w:hAnsi="Calibri" w:cs="Calibri"/>
          <w:iCs/>
          <w:sz w:val="22"/>
          <w:szCs w:val="22"/>
          <w:lang w:val="es-ES"/>
        </w:rPr>
        <w:t xml:space="preserve">5.3 Entregable 4: 22 días después de la presentación del Entregable </w:t>
      </w:r>
      <w:proofErr w:type="spellStart"/>
      <w:r w:rsidRPr="002D3B08">
        <w:rPr>
          <w:rFonts w:ascii="Calibri" w:eastAsiaTheme="minorHAnsi" w:hAnsi="Calibri" w:cs="Calibri"/>
          <w:iCs/>
          <w:sz w:val="22"/>
          <w:szCs w:val="22"/>
          <w:lang w:val="es-ES"/>
        </w:rPr>
        <w:t>nº</w:t>
      </w:r>
      <w:proofErr w:type="spellEnd"/>
      <w:r w:rsidRPr="002D3B08">
        <w:rPr>
          <w:rFonts w:ascii="Calibri" w:eastAsiaTheme="minorHAnsi" w:hAnsi="Calibri" w:cs="Calibri"/>
          <w:iCs/>
          <w:sz w:val="22"/>
          <w:szCs w:val="22"/>
          <w:lang w:val="es-ES"/>
        </w:rPr>
        <w:t xml:space="preserve"> 3.</w:t>
      </w:r>
    </w:p>
    <w:p w14:paraId="03FF535C" w14:textId="77777777" w:rsidR="002D3B08" w:rsidRPr="002D3B08" w:rsidRDefault="002D3B08" w:rsidP="002D3B08">
      <w:pPr>
        <w:spacing w:line="276" w:lineRule="auto"/>
        <w:ind w:left="360"/>
        <w:contextualSpacing/>
        <w:jc w:val="both"/>
        <w:rPr>
          <w:rFonts w:ascii="Calibri" w:eastAsiaTheme="minorHAnsi" w:hAnsi="Calibri" w:cs="Calibri"/>
          <w:b/>
          <w:sz w:val="22"/>
          <w:szCs w:val="22"/>
          <w:u w:val="single"/>
          <w:lang w:val="es-ES"/>
        </w:rPr>
      </w:pPr>
    </w:p>
    <w:p w14:paraId="66591651" w14:textId="00664B73" w:rsidR="00A27784" w:rsidRPr="00D76C5F" w:rsidRDefault="001B4A71" w:rsidP="00E770B1">
      <w:pPr>
        <w:widowControl w:val="0"/>
        <w:numPr>
          <w:ilvl w:val="0"/>
          <w:numId w:val="1"/>
        </w:numPr>
        <w:spacing w:after="200" w:line="276" w:lineRule="auto"/>
        <w:contextualSpacing/>
        <w:jc w:val="both"/>
        <w:rPr>
          <w:rFonts w:ascii="Calibri" w:eastAsiaTheme="minorHAnsi" w:hAnsi="Calibri" w:cs="Calibri"/>
          <w:b/>
          <w:sz w:val="22"/>
          <w:szCs w:val="22"/>
          <w:u w:val="single"/>
        </w:rPr>
      </w:pPr>
      <w:proofErr w:type="spellStart"/>
      <w:r w:rsidRPr="001B4A71">
        <w:rPr>
          <w:rFonts w:ascii="Calibri" w:eastAsiaTheme="minorHAnsi" w:hAnsi="Calibri" w:cs="Calibri"/>
          <w:b/>
          <w:sz w:val="22"/>
          <w:szCs w:val="22"/>
          <w:u w:val="single"/>
        </w:rPr>
        <w:t>Requisitos</w:t>
      </w:r>
      <w:proofErr w:type="spellEnd"/>
      <w:r w:rsidRPr="001B4A71">
        <w:rPr>
          <w:rFonts w:ascii="Calibri" w:eastAsiaTheme="minorHAnsi" w:hAnsi="Calibri" w:cs="Calibri"/>
          <w:b/>
          <w:sz w:val="22"/>
          <w:szCs w:val="22"/>
          <w:u w:val="single"/>
        </w:rPr>
        <w:t xml:space="preserve"> de </w:t>
      </w:r>
      <w:proofErr w:type="spellStart"/>
      <w:r w:rsidRPr="001B4A71">
        <w:rPr>
          <w:rFonts w:ascii="Calibri" w:eastAsiaTheme="minorHAnsi" w:hAnsi="Calibri" w:cs="Calibri"/>
          <w:b/>
          <w:sz w:val="22"/>
          <w:szCs w:val="22"/>
          <w:u w:val="single"/>
        </w:rPr>
        <w:t>información</w:t>
      </w:r>
      <w:proofErr w:type="spellEnd"/>
    </w:p>
    <w:p w14:paraId="66591652" w14:textId="77777777" w:rsidR="00A27784" w:rsidRPr="00D76C5F" w:rsidRDefault="00A27784" w:rsidP="00E770B1">
      <w:pPr>
        <w:spacing w:line="276" w:lineRule="auto"/>
        <w:jc w:val="both"/>
        <w:rPr>
          <w:rFonts w:ascii="Calibri" w:eastAsiaTheme="minorHAnsi" w:hAnsi="Calibri" w:cs="Calibri"/>
          <w:b/>
          <w:sz w:val="22"/>
          <w:szCs w:val="22"/>
          <w:u w:val="single"/>
        </w:rPr>
      </w:pPr>
    </w:p>
    <w:p w14:paraId="6C712982" w14:textId="77777777" w:rsidR="007A08D6" w:rsidRPr="007A08D6" w:rsidRDefault="007A08D6" w:rsidP="007A08D6">
      <w:pPr>
        <w:widowControl w:val="0"/>
        <w:spacing w:line="276" w:lineRule="auto"/>
        <w:jc w:val="both"/>
        <w:rPr>
          <w:rFonts w:ascii="Calibri" w:hAnsi="Calibri" w:cs="Calibri"/>
          <w:sz w:val="22"/>
          <w:szCs w:val="22"/>
          <w:lang w:val="es-ES"/>
        </w:rPr>
      </w:pPr>
      <w:r w:rsidRPr="007A08D6">
        <w:rPr>
          <w:rFonts w:ascii="Calibri" w:hAnsi="Calibri" w:cs="Calibri"/>
          <w:sz w:val="22"/>
          <w:szCs w:val="22"/>
          <w:lang w:val="es-ES"/>
        </w:rPr>
        <w:t xml:space="preserve">- Cada informe y </w:t>
      </w:r>
      <w:proofErr w:type="spellStart"/>
      <w:r w:rsidRPr="007A08D6">
        <w:rPr>
          <w:rFonts w:ascii="Calibri" w:hAnsi="Calibri" w:cs="Calibri"/>
          <w:sz w:val="22"/>
          <w:szCs w:val="22"/>
          <w:lang w:val="es-ES"/>
        </w:rPr>
        <w:t>power</w:t>
      </w:r>
      <w:proofErr w:type="spellEnd"/>
      <w:r w:rsidRPr="007A08D6">
        <w:rPr>
          <w:rFonts w:ascii="Calibri" w:hAnsi="Calibri" w:cs="Calibri"/>
          <w:sz w:val="22"/>
          <w:szCs w:val="22"/>
          <w:lang w:val="es-ES"/>
        </w:rPr>
        <w:t xml:space="preserve"> </w:t>
      </w:r>
      <w:proofErr w:type="spellStart"/>
      <w:r w:rsidRPr="007A08D6">
        <w:rPr>
          <w:rFonts w:ascii="Calibri" w:hAnsi="Calibri" w:cs="Calibri"/>
          <w:sz w:val="22"/>
          <w:szCs w:val="22"/>
          <w:lang w:val="es-ES"/>
        </w:rPr>
        <w:t>point</w:t>
      </w:r>
      <w:proofErr w:type="spellEnd"/>
      <w:r w:rsidRPr="007A08D6">
        <w:rPr>
          <w:rFonts w:ascii="Calibri" w:hAnsi="Calibri" w:cs="Calibri"/>
          <w:sz w:val="22"/>
          <w:szCs w:val="22"/>
          <w:lang w:val="es-ES"/>
        </w:rPr>
        <w:t xml:space="preserve"> debe presentarse al Banco en un archivo electrónico. </w:t>
      </w:r>
    </w:p>
    <w:p w14:paraId="4C5242C2" w14:textId="77777777" w:rsidR="007A08D6" w:rsidRPr="007A08D6" w:rsidRDefault="007A08D6" w:rsidP="007A08D6">
      <w:pPr>
        <w:widowControl w:val="0"/>
        <w:spacing w:line="276" w:lineRule="auto"/>
        <w:jc w:val="both"/>
        <w:rPr>
          <w:rFonts w:ascii="Calibri" w:hAnsi="Calibri" w:cs="Calibri"/>
          <w:sz w:val="22"/>
          <w:szCs w:val="22"/>
          <w:lang w:val="es-ES"/>
        </w:rPr>
      </w:pPr>
      <w:r w:rsidRPr="007A08D6">
        <w:rPr>
          <w:rFonts w:ascii="Calibri" w:hAnsi="Calibri" w:cs="Calibri"/>
          <w:sz w:val="22"/>
          <w:szCs w:val="22"/>
          <w:lang w:val="es-ES"/>
        </w:rPr>
        <w:t>- El informe debe incluir portada, documento principal y todos los anexos. La firma consultora presentará todos los gráficos y datos recogidos en archivos *.png y *.</w:t>
      </w:r>
      <w:proofErr w:type="spellStart"/>
      <w:r w:rsidRPr="007A08D6">
        <w:rPr>
          <w:rFonts w:ascii="Calibri" w:hAnsi="Calibri" w:cs="Calibri"/>
          <w:sz w:val="22"/>
          <w:szCs w:val="22"/>
          <w:lang w:val="es-ES"/>
        </w:rPr>
        <w:t>csv</w:t>
      </w:r>
      <w:proofErr w:type="spellEnd"/>
      <w:r w:rsidRPr="007A08D6">
        <w:rPr>
          <w:rFonts w:ascii="Calibri" w:hAnsi="Calibri" w:cs="Calibri"/>
          <w:sz w:val="22"/>
          <w:szCs w:val="22"/>
          <w:lang w:val="es-ES"/>
        </w:rPr>
        <w:t>.</w:t>
      </w:r>
    </w:p>
    <w:p w14:paraId="66591654" w14:textId="0AD7E0ED" w:rsidR="00A27784" w:rsidRDefault="007A08D6" w:rsidP="007A08D6">
      <w:pPr>
        <w:widowControl w:val="0"/>
        <w:spacing w:line="276" w:lineRule="auto"/>
        <w:jc w:val="both"/>
        <w:rPr>
          <w:rFonts w:ascii="Calibri" w:hAnsi="Calibri" w:cs="Calibri"/>
          <w:sz w:val="22"/>
          <w:szCs w:val="22"/>
          <w:lang w:val="es-ES"/>
        </w:rPr>
      </w:pPr>
      <w:r w:rsidRPr="007A08D6">
        <w:rPr>
          <w:rFonts w:ascii="Calibri" w:hAnsi="Calibri" w:cs="Calibri"/>
          <w:sz w:val="22"/>
          <w:szCs w:val="22"/>
          <w:lang w:val="es-ES"/>
        </w:rPr>
        <w:t xml:space="preserve">- No se aceptarán archivos Zip como informes finales, debido a la normativa de la Sección de Gestión de Archivos. Todos los informes y </w:t>
      </w:r>
      <w:proofErr w:type="spellStart"/>
      <w:r w:rsidRPr="007A08D6">
        <w:rPr>
          <w:rFonts w:ascii="Calibri" w:hAnsi="Calibri" w:cs="Calibri"/>
          <w:sz w:val="22"/>
          <w:szCs w:val="22"/>
          <w:lang w:val="es-ES"/>
        </w:rPr>
        <w:t>power</w:t>
      </w:r>
      <w:proofErr w:type="spellEnd"/>
      <w:r w:rsidRPr="007A08D6">
        <w:rPr>
          <w:rFonts w:ascii="Calibri" w:hAnsi="Calibri" w:cs="Calibri"/>
          <w:sz w:val="22"/>
          <w:szCs w:val="22"/>
          <w:lang w:val="es-ES"/>
        </w:rPr>
        <w:t xml:space="preserve"> </w:t>
      </w:r>
      <w:proofErr w:type="spellStart"/>
      <w:r w:rsidRPr="007A08D6">
        <w:rPr>
          <w:rFonts w:ascii="Calibri" w:hAnsi="Calibri" w:cs="Calibri"/>
          <w:sz w:val="22"/>
          <w:szCs w:val="22"/>
          <w:lang w:val="es-ES"/>
        </w:rPr>
        <w:t>point</w:t>
      </w:r>
      <w:proofErr w:type="spellEnd"/>
      <w:r w:rsidRPr="007A08D6">
        <w:rPr>
          <w:rFonts w:ascii="Calibri" w:hAnsi="Calibri" w:cs="Calibri"/>
          <w:sz w:val="22"/>
          <w:szCs w:val="22"/>
          <w:lang w:val="es-ES"/>
        </w:rPr>
        <w:t xml:space="preserve"> se presentarán en español. La empresa consultora tendrá acceso a una unidad de carpeta OneDrive. Todos los datos recopilados y la información de referencia se almacenarán en la carpeta OneDrive, incluidos otros informes e información recopilados como parte de esta consultoría.</w:t>
      </w:r>
    </w:p>
    <w:p w14:paraId="4C2F869D" w14:textId="77777777" w:rsidR="007A08D6" w:rsidRPr="007A08D6" w:rsidRDefault="007A08D6" w:rsidP="007A08D6">
      <w:pPr>
        <w:widowControl w:val="0"/>
        <w:spacing w:line="276" w:lineRule="auto"/>
        <w:jc w:val="both"/>
        <w:rPr>
          <w:rFonts w:ascii="Calibri" w:eastAsiaTheme="minorHAnsi" w:hAnsi="Calibri" w:cs="Calibri"/>
          <w:b/>
          <w:sz w:val="22"/>
          <w:szCs w:val="22"/>
          <w:lang w:val="es-ES"/>
        </w:rPr>
      </w:pPr>
    </w:p>
    <w:p w14:paraId="66591655" w14:textId="091053D8" w:rsidR="00A27784" w:rsidRPr="00D76C5F" w:rsidRDefault="007A08D6" w:rsidP="00E770B1">
      <w:pPr>
        <w:widowControl w:val="0"/>
        <w:numPr>
          <w:ilvl w:val="0"/>
          <w:numId w:val="1"/>
        </w:numPr>
        <w:spacing w:after="200" w:line="276" w:lineRule="auto"/>
        <w:contextualSpacing/>
        <w:jc w:val="both"/>
        <w:rPr>
          <w:rFonts w:ascii="Calibri" w:eastAsiaTheme="minorHAnsi" w:hAnsi="Calibri" w:cs="Calibri"/>
          <w:b/>
          <w:sz w:val="22"/>
          <w:szCs w:val="22"/>
          <w:u w:val="single"/>
        </w:rPr>
      </w:pPr>
      <w:proofErr w:type="spellStart"/>
      <w:r w:rsidRPr="007A08D6">
        <w:rPr>
          <w:rFonts w:ascii="Calibri" w:eastAsiaTheme="minorHAnsi" w:hAnsi="Calibri" w:cs="Calibri"/>
          <w:b/>
          <w:sz w:val="22"/>
          <w:szCs w:val="22"/>
          <w:u w:val="single"/>
        </w:rPr>
        <w:t>Criterios</w:t>
      </w:r>
      <w:proofErr w:type="spellEnd"/>
      <w:r w:rsidRPr="007A08D6">
        <w:rPr>
          <w:rFonts w:ascii="Calibri" w:eastAsiaTheme="minorHAnsi" w:hAnsi="Calibri" w:cs="Calibri"/>
          <w:b/>
          <w:sz w:val="22"/>
          <w:szCs w:val="22"/>
          <w:u w:val="single"/>
        </w:rPr>
        <w:t xml:space="preserve"> de </w:t>
      </w:r>
      <w:proofErr w:type="spellStart"/>
      <w:r w:rsidRPr="007A08D6">
        <w:rPr>
          <w:rFonts w:ascii="Calibri" w:eastAsiaTheme="minorHAnsi" w:hAnsi="Calibri" w:cs="Calibri"/>
          <w:b/>
          <w:sz w:val="22"/>
          <w:szCs w:val="22"/>
          <w:u w:val="single"/>
        </w:rPr>
        <w:t>aceptación</w:t>
      </w:r>
      <w:proofErr w:type="spellEnd"/>
    </w:p>
    <w:p w14:paraId="66591656" w14:textId="77777777" w:rsidR="00A27784" w:rsidRPr="00D76C5F" w:rsidRDefault="00A27784" w:rsidP="00E770B1">
      <w:pPr>
        <w:shd w:val="clear" w:color="auto" w:fill="FFFFFF"/>
        <w:jc w:val="both"/>
        <w:rPr>
          <w:rFonts w:ascii="Calibri" w:hAnsi="Calibri" w:cs="Calibri"/>
          <w:color w:val="008800"/>
          <w:sz w:val="22"/>
          <w:szCs w:val="22"/>
          <w:lang w:val="en-GB"/>
        </w:rPr>
      </w:pPr>
    </w:p>
    <w:p w14:paraId="280924C4" w14:textId="3D50CB6F" w:rsidR="00B40DD9" w:rsidRPr="00893FE3" w:rsidRDefault="00893FE3" w:rsidP="00A1120E">
      <w:pPr>
        <w:widowControl w:val="0"/>
        <w:numPr>
          <w:ilvl w:val="1"/>
          <w:numId w:val="1"/>
        </w:numPr>
        <w:shd w:val="clear" w:color="auto" w:fill="FFFFFF"/>
        <w:spacing w:after="200" w:line="276" w:lineRule="auto"/>
        <w:contextualSpacing/>
        <w:jc w:val="both"/>
        <w:rPr>
          <w:rFonts w:ascii="Calibri" w:hAnsi="Calibri" w:cs="Calibri"/>
          <w:color w:val="008800"/>
          <w:sz w:val="22"/>
          <w:szCs w:val="22"/>
          <w:lang w:val="es-ES"/>
        </w:rPr>
      </w:pPr>
      <w:r w:rsidRPr="00893FE3">
        <w:rPr>
          <w:rFonts w:ascii="Calibri" w:eastAsiaTheme="minorHAnsi" w:hAnsi="Calibri" w:cs="Calibri"/>
          <w:iCs/>
          <w:sz w:val="22"/>
          <w:szCs w:val="22"/>
          <w:lang w:val="es-ES"/>
        </w:rPr>
        <w:t>El informe debe presentarse en formato Word, con todos los gráficos, tablas y datos relacionados en formato Excel. Todas las metodologías, hipótesis y fuentes de datos utilizadas deben estar claramente descritas.</w:t>
      </w:r>
    </w:p>
    <w:p w14:paraId="1617B991" w14:textId="77777777" w:rsidR="00893FE3" w:rsidRPr="00893FE3" w:rsidRDefault="00893FE3" w:rsidP="00893FE3">
      <w:pPr>
        <w:widowControl w:val="0"/>
        <w:shd w:val="clear" w:color="auto" w:fill="FFFFFF"/>
        <w:spacing w:after="200" w:line="276" w:lineRule="auto"/>
        <w:ind w:left="792"/>
        <w:contextualSpacing/>
        <w:jc w:val="both"/>
        <w:rPr>
          <w:rFonts w:ascii="Calibri" w:hAnsi="Calibri" w:cs="Calibri"/>
          <w:color w:val="008800"/>
          <w:sz w:val="22"/>
          <w:szCs w:val="22"/>
          <w:lang w:val="es-ES"/>
        </w:rPr>
      </w:pPr>
    </w:p>
    <w:p w14:paraId="6659165D" w14:textId="05EE4AEF" w:rsidR="00A27784" w:rsidRPr="00455CAD" w:rsidRDefault="00A27784" w:rsidP="00A27784">
      <w:pPr>
        <w:widowControl w:val="0"/>
        <w:numPr>
          <w:ilvl w:val="0"/>
          <w:numId w:val="1"/>
        </w:numPr>
        <w:spacing w:after="200" w:line="276" w:lineRule="auto"/>
        <w:contextualSpacing/>
        <w:rPr>
          <w:rFonts w:ascii="Calibri" w:eastAsiaTheme="minorHAnsi" w:hAnsi="Calibri" w:cs="Calibri"/>
          <w:b/>
          <w:sz w:val="22"/>
          <w:szCs w:val="22"/>
          <w:u w:val="single"/>
        </w:rPr>
      </w:pPr>
      <w:r w:rsidRPr="00893FE3">
        <w:rPr>
          <w:rFonts w:ascii="Calibri" w:eastAsiaTheme="minorHAnsi" w:hAnsi="Calibri" w:cs="Calibri"/>
          <w:b/>
          <w:sz w:val="22"/>
          <w:szCs w:val="22"/>
          <w:lang w:val="es-ES"/>
        </w:rPr>
        <w:t xml:space="preserve"> </w:t>
      </w:r>
      <w:proofErr w:type="spellStart"/>
      <w:r w:rsidRPr="00455CAD">
        <w:rPr>
          <w:rFonts w:ascii="Calibri" w:eastAsiaTheme="minorHAnsi" w:hAnsi="Calibri" w:cs="Calibri"/>
          <w:b/>
          <w:sz w:val="22"/>
          <w:szCs w:val="22"/>
          <w:u w:val="single"/>
        </w:rPr>
        <w:t>Supervisi</w:t>
      </w:r>
      <w:r w:rsidR="00893FE3">
        <w:rPr>
          <w:rFonts w:ascii="Calibri" w:eastAsiaTheme="minorHAnsi" w:hAnsi="Calibri" w:cs="Calibri"/>
          <w:b/>
          <w:sz w:val="22"/>
          <w:szCs w:val="22"/>
          <w:u w:val="single"/>
        </w:rPr>
        <w:t>ó</w:t>
      </w:r>
      <w:r w:rsidRPr="00455CAD">
        <w:rPr>
          <w:rFonts w:ascii="Calibri" w:eastAsiaTheme="minorHAnsi" w:hAnsi="Calibri" w:cs="Calibri"/>
          <w:b/>
          <w:sz w:val="22"/>
          <w:szCs w:val="22"/>
          <w:u w:val="single"/>
        </w:rPr>
        <w:t>n</w:t>
      </w:r>
      <w:proofErr w:type="spellEnd"/>
      <w:r w:rsidR="00706759" w:rsidRPr="00455CAD">
        <w:rPr>
          <w:rFonts w:ascii="Calibri" w:eastAsiaTheme="minorHAnsi" w:hAnsi="Calibri" w:cs="Calibri"/>
          <w:b/>
          <w:sz w:val="22"/>
          <w:szCs w:val="22"/>
          <w:u w:val="single"/>
        </w:rPr>
        <w:t xml:space="preserve"> and </w:t>
      </w:r>
      <w:proofErr w:type="spellStart"/>
      <w:r w:rsidR="00706759" w:rsidRPr="00455CAD">
        <w:rPr>
          <w:rFonts w:ascii="Calibri" w:eastAsiaTheme="minorHAnsi" w:hAnsi="Calibri" w:cs="Calibri"/>
          <w:b/>
          <w:sz w:val="22"/>
          <w:szCs w:val="22"/>
          <w:u w:val="single"/>
        </w:rPr>
        <w:t>Report</w:t>
      </w:r>
      <w:r w:rsidR="00893FE3">
        <w:rPr>
          <w:rFonts w:ascii="Calibri" w:eastAsiaTheme="minorHAnsi" w:hAnsi="Calibri" w:cs="Calibri"/>
          <w:b/>
          <w:sz w:val="22"/>
          <w:szCs w:val="22"/>
          <w:u w:val="single"/>
        </w:rPr>
        <w:t>e</w:t>
      </w:r>
      <w:proofErr w:type="spellEnd"/>
    </w:p>
    <w:p w14:paraId="6659165E" w14:textId="77777777" w:rsidR="006E62D9" w:rsidRPr="00455CAD" w:rsidRDefault="006E62D9" w:rsidP="006E62D9">
      <w:pPr>
        <w:widowControl w:val="0"/>
        <w:spacing w:after="200" w:line="276" w:lineRule="auto"/>
        <w:ind w:left="360"/>
        <w:contextualSpacing/>
        <w:rPr>
          <w:rFonts w:ascii="Calibri" w:eastAsiaTheme="minorHAnsi" w:hAnsi="Calibri" w:cs="Calibri"/>
          <w:b/>
          <w:sz w:val="22"/>
          <w:szCs w:val="22"/>
          <w:u w:val="single"/>
        </w:rPr>
      </w:pPr>
    </w:p>
    <w:p w14:paraId="6659165F" w14:textId="7CCD89D4" w:rsidR="00706759" w:rsidRPr="009814C5" w:rsidRDefault="001B4CDB" w:rsidP="00706759">
      <w:pPr>
        <w:widowControl w:val="0"/>
        <w:numPr>
          <w:ilvl w:val="1"/>
          <w:numId w:val="1"/>
        </w:numPr>
        <w:shd w:val="clear" w:color="auto" w:fill="FFFFFF"/>
        <w:tabs>
          <w:tab w:val="left" w:pos="990"/>
        </w:tabs>
        <w:spacing w:after="200" w:line="276" w:lineRule="auto"/>
        <w:contextualSpacing/>
        <w:rPr>
          <w:rFonts w:ascii="Calibri" w:eastAsiaTheme="minorHAnsi" w:hAnsi="Calibri" w:cs="Calibri"/>
          <w:bCs/>
          <w:iCs/>
          <w:sz w:val="22"/>
          <w:szCs w:val="22"/>
        </w:rPr>
      </w:pPr>
      <w:r w:rsidRPr="009814C5">
        <w:rPr>
          <w:rFonts w:ascii="Calibri" w:eastAsiaTheme="minorHAnsi" w:hAnsi="Calibri" w:cs="Calibri"/>
          <w:bCs/>
          <w:iCs/>
          <w:sz w:val="22"/>
          <w:szCs w:val="22"/>
        </w:rPr>
        <w:t>Coordina</w:t>
      </w:r>
      <w:r w:rsidR="00893FE3">
        <w:rPr>
          <w:rFonts w:ascii="Calibri" w:eastAsiaTheme="minorHAnsi" w:hAnsi="Calibri" w:cs="Calibri"/>
          <w:bCs/>
          <w:iCs/>
          <w:sz w:val="22"/>
          <w:szCs w:val="22"/>
        </w:rPr>
        <w:t>d</w:t>
      </w:r>
      <w:r w:rsidRPr="009814C5">
        <w:rPr>
          <w:rFonts w:ascii="Calibri" w:eastAsiaTheme="minorHAnsi" w:hAnsi="Calibri" w:cs="Calibri"/>
          <w:bCs/>
          <w:iCs/>
          <w:sz w:val="22"/>
          <w:szCs w:val="22"/>
        </w:rPr>
        <w:t>or</w:t>
      </w:r>
      <w:r w:rsidR="00712AE7" w:rsidRPr="009814C5">
        <w:rPr>
          <w:rFonts w:ascii="Calibri" w:eastAsiaTheme="minorHAnsi" w:hAnsi="Calibri" w:cs="Calibri"/>
          <w:bCs/>
          <w:iCs/>
          <w:sz w:val="22"/>
          <w:szCs w:val="22"/>
        </w:rPr>
        <w:t>: J</w:t>
      </w:r>
      <w:r w:rsidR="009D25CB">
        <w:rPr>
          <w:rFonts w:ascii="Calibri" w:eastAsiaTheme="minorHAnsi" w:hAnsi="Calibri" w:cs="Calibri"/>
          <w:bCs/>
          <w:iCs/>
          <w:sz w:val="22"/>
          <w:szCs w:val="22"/>
        </w:rPr>
        <w:t>uan</w:t>
      </w:r>
      <w:r w:rsidR="00712AE7" w:rsidRPr="009814C5">
        <w:rPr>
          <w:rFonts w:ascii="Calibri" w:eastAsiaTheme="minorHAnsi" w:hAnsi="Calibri" w:cs="Calibri"/>
          <w:bCs/>
          <w:iCs/>
          <w:sz w:val="22"/>
          <w:szCs w:val="22"/>
        </w:rPr>
        <w:t xml:space="preserve"> </w:t>
      </w:r>
      <w:r w:rsidR="009D25CB">
        <w:rPr>
          <w:rFonts w:ascii="Calibri" w:eastAsiaTheme="minorHAnsi" w:hAnsi="Calibri" w:cs="Calibri"/>
          <w:bCs/>
          <w:iCs/>
          <w:sz w:val="22"/>
          <w:szCs w:val="22"/>
        </w:rPr>
        <w:t>Roberto</w:t>
      </w:r>
      <w:r w:rsidR="00712AE7" w:rsidRPr="009814C5">
        <w:rPr>
          <w:rFonts w:ascii="Calibri" w:eastAsiaTheme="minorHAnsi" w:hAnsi="Calibri" w:cs="Calibri"/>
          <w:bCs/>
          <w:iCs/>
          <w:sz w:val="22"/>
          <w:szCs w:val="22"/>
        </w:rPr>
        <w:t xml:space="preserve"> Paredes (INE/ENE) (e-mail</w:t>
      </w:r>
      <w:r w:rsidRPr="009814C5">
        <w:rPr>
          <w:rFonts w:ascii="Calibri" w:eastAsiaTheme="minorHAnsi" w:hAnsi="Calibri" w:cs="Calibri"/>
          <w:bCs/>
          <w:iCs/>
          <w:sz w:val="22"/>
          <w:szCs w:val="22"/>
        </w:rPr>
        <w:t>:</w:t>
      </w:r>
      <w:r w:rsidR="009D25CB">
        <w:rPr>
          <w:rFonts w:ascii="Calibri" w:eastAsiaTheme="minorHAnsi" w:hAnsi="Calibri" w:cs="Calibri"/>
          <w:bCs/>
          <w:iCs/>
          <w:sz w:val="22"/>
          <w:szCs w:val="22"/>
        </w:rPr>
        <w:t xml:space="preserve"> </w:t>
      </w:r>
      <w:hyperlink r:id="rId14" w:history="1">
        <w:r w:rsidR="009D25CB" w:rsidRPr="0002788B">
          <w:rPr>
            <w:rStyle w:val="Hipervnculo"/>
            <w:rFonts w:ascii="Calibri" w:eastAsiaTheme="minorHAnsi" w:hAnsi="Calibri" w:cs="Calibri"/>
            <w:bCs/>
            <w:iCs/>
            <w:sz w:val="22"/>
            <w:szCs w:val="22"/>
          </w:rPr>
          <w:t>jparedes@iadb.org</w:t>
        </w:r>
      </w:hyperlink>
      <w:r w:rsidR="009D25CB">
        <w:rPr>
          <w:rFonts w:ascii="Calibri" w:eastAsiaTheme="minorHAnsi" w:hAnsi="Calibri" w:cs="Calibri"/>
          <w:bCs/>
          <w:iCs/>
          <w:sz w:val="22"/>
          <w:szCs w:val="22"/>
        </w:rPr>
        <w:t xml:space="preserve"> </w:t>
      </w:r>
      <w:r w:rsidRPr="009814C5">
        <w:rPr>
          <w:rFonts w:ascii="Calibri" w:eastAsiaTheme="minorHAnsi" w:hAnsi="Calibri" w:cs="Calibri"/>
          <w:bCs/>
          <w:iCs/>
          <w:sz w:val="22"/>
          <w:szCs w:val="22"/>
        </w:rPr>
        <w:t>)</w:t>
      </w:r>
      <w:r w:rsidR="00200480">
        <w:rPr>
          <w:rFonts w:ascii="Calibri" w:eastAsiaTheme="minorHAnsi" w:hAnsi="Calibri" w:cs="Calibri"/>
          <w:bCs/>
          <w:iCs/>
          <w:sz w:val="22"/>
          <w:szCs w:val="22"/>
        </w:rPr>
        <w:t>.</w:t>
      </w:r>
    </w:p>
    <w:p w14:paraId="66591661" w14:textId="77777777" w:rsidR="00A27784" w:rsidRPr="00455CAD" w:rsidRDefault="00A27784" w:rsidP="00E770B1">
      <w:pPr>
        <w:ind w:right="-10"/>
        <w:jc w:val="both"/>
        <w:rPr>
          <w:rFonts w:ascii="Calibri" w:hAnsi="Calibri" w:cs="Calibri"/>
          <w:b/>
          <w:sz w:val="22"/>
          <w:szCs w:val="22"/>
        </w:rPr>
      </w:pPr>
    </w:p>
    <w:p w14:paraId="66591662" w14:textId="6B66901F" w:rsidR="00A27784" w:rsidRPr="00455CAD" w:rsidRDefault="00893FE3" w:rsidP="00E770B1">
      <w:pPr>
        <w:pStyle w:val="Prrafodelista"/>
        <w:numPr>
          <w:ilvl w:val="0"/>
          <w:numId w:val="1"/>
        </w:numPr>
        <w:ind w:right="-10"/>
        <w:jc w:val="both"/>
        <w:rPr>
          <w:rFonts w:ascii="Calibri" w:hAnsi="Calibri" w:cs="Calibri"/>
          <w:b/>
          <w:sz w:val="22"/>
          <w:szCs w:val="22"/>
        </w:rPr>
      </w:pPr>
      <w:proofErr w:type="spellStart"/>
      <w:r>
        <w:rPr>
          <w:rFonts w:ascii="Calibri" w:hAnsi="Calibri" w:cs="Calibri"/>
          <w:b/>
          <w:sz w:val="22"/>
          <w:szCs w:val="22"/>
        </w:rPr>
        <w:t>Cronograma</w:t>
      </w:r>
      <w:proofErr w:type="spellEnd"/>
      <w:r>
        <w:rPr>
          <w:rFonts w:ascii="Calibri" w:hAnsi="Calibri" w:cs="Calibri"/>
          <w:b/>
          <w:sz w:val="22"/>
          <w:szCs w:val="22"/>
        </w:rPr>
        <w:t xml:space="preserve"> de </w:t>
      </w:r>
      <w:proofErr w:type="spellStart"/>
      <w:r>
        <w:rPr>
          <w:rFonts w:ascii="Calibri" w:hAnsi="Calibri" w:cs="Calibri"/>
          <w:b/>
          <w:sz w:val="22"/>
          <w:szCs w:val="22"/>
        </w:rPr>
        <w:t>pagos</w:t>
      </w:r>
      <w:proofErr w:type="spellEnd"/>
    </w:p>
    <w:p w14:paraId="66591663" w14:textId="77777777" w:rsidR="006E62D9" w:rsidRPr="00455CAD" w:rsidRDefault="006E62D9" w:rsidP="00E770B1">
      <w:pPr>
        <w:pStyle w:val="Prrafodelista"/>
        <w:ind w:left="360" w:right="-10"/>
        <w:jc w:val="both"/>
        <w:rPr>
          <w:rFonts w:ascii="Calibri" w:hAnsi="Calibri" w:cs="Calibri"/>
          <w:b/>
          <w:sz w:val="22"/>
          <w:szCs w:val="22"/>
        </w:rPr>
      </w:pPr>
    </w:p>
    <w:p w14:paraId="63C928D9" w14:textId="77777777" w:rsidR="00AE7EF2" w:rsidRPr="00AE7EF2" w:rsidRDefault="00AE7EF2" w:rsidP="00AE7EF2">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r w:rsidRPr="00AE7EF2">
        <w:rPr>
          <w:rFonts w:ascii="Calibri" w:eastAsiaTheme="minorHAnsi" w:hAnsi="Calibri" w:cs="Calibri"/>
          <w:color w:val="auto"/>
          <w:sz w:val="22"/>
          <w:szCs w:val="22"/>
          <w:lang w:val="es-ES" w:eastAsia="en-US"/>
        </w:rPr>
        <w:t>9.1.</w:t>
      </w:r>
      <w:r w:rsidRPr="00AE7EF2">
        <w:rPr>
          <w:rFonts w:ascii="Calibri" w:eastAsiaTheme="minorHAnsi" w:hAnsi="Calibri" w:cs="Calibri"/>
          <w:color w:val="auto"/>
          <w:sz w:val="22"/>
          <w:szCs w:val="22"/>
          <w:lang w:val="es-ES" w:eastAsia="en-US"/>
        </w:rPr>
        <w:tab/>
        <w:t>Prestación 1: pago del 20% tras la aprobación de la Prestación 1.</w:t>
      </w:r>
    </w:p>
    <w:p w14:paraId="3730FCC7" w14:textId="77777777" w:rsidR="00AE7EF2" w:rsidRPr="00AE7EF2" w:rsidRDefault="00AE7EF2" w:rsidP="00AE7EF2">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r w:rsidRPr="00AE7EF2">
        <w:rPr>
          <w:rFonts w:ascii="Calibri" w:eastAsiaTheme="minorHAnsi" w:hAnsi="Calibri" w:cs="Calibri"/>
          <w:color w:val="auto"/>
          <w:sz w:val="22"/>
          <w:szCs w:val="22"/>
          <w:lang w:val="es-ES" w:eastAsia="en-US"/>
        </w:rPr>
        <w:tab/>
        <w:t>Entregable 2: pago del 50% tras la aprobación del Entregable 2.</w:t>
      </w:r>
    </w:p>
    <w:p w14:paraId="6D5E2001" w14:textId="77777777" w:rsidR="00AE7EF2" w:rsidRPr="00AE7EF2" w:rsidRDefault="00AE7EF2" w:rsidP="00AE7EF2">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r w:rsidRPr="00AE7EF2">
        <w:rPr>
          <w:rFonts w:ascii="Calibri" w:eastAsiaTheme="minorHAnsi" w:hAnsi="Calibri" w:cs="Calibri"/>
          <w:color w:val="auto"/>
          <w:sz w:val="22"/>
          <w:szCs w:val="22"/>
          <w:lang w:val="es-ES" w:eastAsia="en-US"/>
        </w:rPr>
        <w:lastRenderedPageBreak/>
        <w:tab/>
        <w:t>Entregable 3: pago del 30% tras la aprobación del Entregable 4.</w:t>
      </w:r>
    </w:p>
    <w:p w14:paraId="4EFEABAA" w14:textId="77777777" w:rsidR="00AE7EF2" w:rsidRPr="00AE7EF2" w:rsidRDefault="00AE7EF2" w:rsidP="00AE7EF2">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p>
    <w:p w14:paraId="1B0C88C7" w14:textId="77777777" w:rsidR="00AE7EF2" w:rsidRPr="00AE7EF2" w:rsidRDefault="00AE7EF2" w:rsidP="00AE7EF2">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r w:rsidRPr="00AE7EF2">
        <w:rPr>
          <w:rFonts w:ascii="Calibri" w:eastAsiaTheme="minorHAnsi" w:hAnsi="Calibri" w:cs="Calibri"/>
          <w:color w:val="auto"/>
          <w:sz w:val="22"/>
          <w:szCs w:val="22"/>
          <w:lang w:val="es-ES" w:eastAsia="en-US"/>
        </w:rPr>
        <w:t>9.2.</w:t>
      </w:r>
      <w:r w:rsidRPr="00AE7EF2">
        <w:rPr>
          <w:rFonts w:ascii="Calibri" w:eastAsiaTheme="minorHAnsi" w:hAnsi="Calibri" w:cs="Calibri"/>
          <w:color w:val="auto"/>
          <w:sz w:val="22"/>
          <w:szCs w:val="22"/>
          <w:lang w:val="es-ES" w:eastAsia="en-US"/>
        </w:rPr>
        <w:tab/>
        <w:t>Las condiciones de pago se basarán en los hitos o entregables del proyecto, según se indica en el punto 5. El Banco no prevé realizar pagos por adelantado en el marco de contratos de consultoría, a menos que se requiera una importante cantidad de viajes.  El Banco desea recibir la propuesta de coste más competitiva para los servicios aquí descritos.</w:t>
      </w:r>
    </w:p>
    <w:p w14:paraId="1D4908BC" w14:textId="4AE802F9" w:rsidR="009F0830" w:rsidRPr="00AE7EF2" w:rsidRDefault="00AE7EF2" w:rsidP="00AE7EF2">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r w:rsidRPr="00AE7EF2">
        <w:rPr>
          <w:rFonts w:ascii="Calibri" w:eastAsiaTheme="minorHAnsi" w:hAnsi="Calibri" w:cs="Calibri"/>
          <w:color w:val="auto"/>
          <w:sz w:val="22"/>
          <w:szCs w:val="22"/>
          <w:lang w:val="es-ES" w:eastAsia="en-US"/>
        </w:rPr>
        <w:t>9.3.</w:t>
      </w:r>
      <w:r w:rsidRPr="00AE7EF2">
        <w:rPr>
          <w:rFonts w:ascii="Calibri" w:eastAsiaTheme="minorHAnsi" w:hAnsi="Calibri" w:cs="Calibri"/>
          <w:color w:val="auto"/>
          <w:sz w:val="22"/>
          <w:szCs w:val="22"/>
          <w:lang w:val="es-ES" w:eastAsia="en-US"/>
        </w:rPr>
        <w:tab/>
        <w:t>Se aplicará el Tipo de Cambio Oficial del BID indicado en la RFP para las conversiones necesarias de los pagos en moneda local.</w:t>
      </w:r>
    </w:p>
    <w:p w14:paraId="6F4ADB56" w14:textId="77777777" w:rsidR="009F0830" w:rsidRPr="00AE7EF2" w:rsidRDefault="009F0830" w:rsidP="009F0830">
      <w:pPr>
        <w:pStyle w:val="Sangra3detindependiente"/>
        <w:tabs>
          <w:tab w:val="left" w:pos="1080"/>
        </w:tabs>
        <w:suppressAutoHyphens/>
        <w:jc w:val="both"/>
        <w:textAlignment w:val="baseline"/>
        <w:rPr>
          <w:rFonts w:ascii="Calibri" w:eastAsiaTheme="minorHAnsi" w:hAnsi="Calibri" w:cs="Calibri"/>
          <w:color w:val="auto"/>
          <w:sz w:val="22"/>
          <w:szCs w:val="22"/>
          <w:lang w:val="es-ES" w:eastAsia="en-US"/>
        </w:rPr>
      </w:pPr>
    </w:p>
    <w:p w14:paraId="475406D8" w14:textId="77777777" w:rsidR="003D583A" w:rsidRPr="00AE7EF2" w:rsidRDefault="003D583A" w:rsidP="003D583A">
      <w:pPr>
        <w:contextualSpacing/>
        <w:rPr>
          <w:rFonts w:cs="Arial"/>
          <w:b/>
          <w:lang w:val="es-ES"/>
        </w:rPr>
      </w:pPr>
    </w:p>
    <w:p w14:paraId="7D976E3F" w14:textId="32A1B6E8" w:rsidR="003D583A" w:rsidRDefault="003D583A" w:rsidP="003D583A">
      <w:pPr>
        <w:pStyle w:val="Prrafodelista"/>
        <w:numPr>
          <w:ilvl w:val="0"/>
          <w:numId w:val="1"/>
        </w:numPr>
        <w:rPr>
          <w:rFonts w:ascii="Calibri" w:hAnsi="Calibri" w:cs="Calibri"/>
          <w:b/>
          <w:bCs/>
          <w:sz w:val="22"/>
          <w:szCs w:val="22"/>
          <w:u w:val="single"/>
        </w:rPr>
      </w:pPr>
      <w:proofErr w:type="spellStart"/>
      <w:r w:rsidRPr="003D583A">
        <w:rPr>
          <w:rFonts w:ascii="Calibri" w:hAnsi="Calibri" w:cs="Calibri"/>
          <w:b/>
          <w:bCs/>
          <w:sz w:val="22"/>
          <w:szCs w:val="22"/>
          <w:u w:val="single"/>
        </w:rPr>
        <w:t>Referenc</w:t>
      </w:r>
      <w:r w:rsidR="00AE7EF2">
        <w:rPr>
          <w:rFonts w:ascii="Calibri" w:hAnsi="Calibri" w:cs="Calibri"/>
          <w:b/>
          <w:bCs/>
          <w:sz w:val="22"/>
          <w:szCs w:val="22"/>
          <w:u w:val="single"/>
        </w:rPr>
        <w:t>ias</w:t>
      </w:r>
      <w:proofErr w:type="spellEnd"/>
      <w:r w:rsidRPr="003D583A">
        <w:rPr>
          <w:rFonts w:ascii="Calibri" w:hAnsi="Calibri" w:cs="Calibri"/>
          <w:b/>
          <w:bCs/>
          <w:sz w:val="22"/>
          <w:szCs w:val="22"/>
          <w:u w:val="single"/>
        </w:rPr>
        <w:t>:</w:t>
      </w:r>
    </w:p>
    <w:p w14:paraId="7AD2C9D8" w14:textId="77777777" w:rsidR="00E86939" w:rsidRPr="003D583A" w:rsidRDefault="00E86939" w:rsidP="00E86939">
      <w:pPr>
        <w:pStyle w:val="Prrafodelista"/>
        <w:ind w:left="360"/>
        <w:rPr>
          <w:rFonts w:ascii="Calibri" w:hAnsi="Calibri" w:cs="Calibri"/>
          <w:b/>
          <w:bCs/>
          <w:sz w:val="22"/>
          <w:szCs w:val="22"/>
          <w:u w:val="single"/>
        </w:rPr>
      </w:pPr>
    </w:p>
    <w:p w14:paraId="4BF7B7FF" w14:textId="72EB3696" w:rsidR="003D583A" w:rsidRPr="0065375E" w:rsidRDefault="00A45EC4" w:rsidP="0065375E">
      <w:pPr>
        <w:jc w:val="both"/>
        <w:rPr>
          <w:rFonts w:ascii="Calibri" w:hAnsi="Calibri" w:cs="Calibri"/>
          <w:sz w:val="22"/>
          <w:szCs w:val="22"/>
        </w:rPr>
      </w:pPr>
      <w:r w:rsidRPr="006727A0">
        <w:rPr>
          <w:rFonts w:ascii="Calibri" w:hAnsi="Calibri" w:cs="Calibri"/>
          <w:sz w:val="22"/>
          <w:szCs w:val="22"/>
        </w:rPr>
        <w:t>IRENA (2023), World Energy Transitions Outlook</w:t>
      </w:r>
      <w:r w:rsidR="006727A0" w:rsidRPr="006727A0">
        <w:rPr>
          <w:rFonts w:ascii="Calibri" w:hAnsi="Calibri" w:cs="Calibri"/>
          <w:sz w:val="22"/>
          <w:szCs w:val="22"/>
        </w:rPr>
        <w:t xml:space="preserve"> </w:t>
      </w:r>
      <w:r w:rsidRPr="00A45EC4">
        <w:rPr>
          <w:rFonts w:ascii="Calibri" w:hAnsi="Calibri" w:cs="Calibri"/>
          <w:sz w:val="22"/>
          <w:szCs w:val="22"/>
        </w:rPr>
        <w:t>2023: 1.5°C Pathway, International Renewable Energy Agency, Abu Dhabi.</w:t>
      </w:r>
      <w:r w:rsidR="006727A0">
        <w:rPr>
          <w:rFonts w:ascii="Calibri" w:hAnsi="Calibri" w:cs="Calibri"/>
          <w:sz w:val="22"/>
          <w:szCs w:val="22"/>
        </w:rPr>
        <w:t xml:space="preserve"> Accessed on May 30</w:t>
      </w:r>
      <w:r w:rsidR="006727A0" w:rsidRPr="006727A0">
        <w:rPr>
          <w:rFonts w:ascii="Calibri" w:hAnsi="Calibri" w:cs="Calibri"/>
          <w:sz w:val="22"/>
          <w:szCs w:val="22"/>
          <w:vertAlign w:val="superscript"/>
        </w:rPr>
        <w:t>th</w:t>
      </w:r>
      <w:r w:rsidR="006727A0">
        <w:rPr>
          <w:rFonts w:ascii="Calibri" w:hAnsi="Calibri" w:cs="Calibri"/>
          <w:sz w:val="22"/>
          <w:szCs w:val="22"/>
        </w:rPr>
        <w:t xml:space="preserve">: </w:t>
      </w:r>
      <w:hyperlink r:id="rId15" w:history="1">
        <w:r w:rsidR="006727A0" w:rsidRPr="00142CF5">
          <w:rPr>
            <w:rStyle w:val="Hipervnculo"/>
            <w:rFonts w:ascii="Calibri" w:hAnsi="Calibri" w:cs="Calibri"/>
            <w:sz w:val="22"/>
            <w:szCs w:val="22"/>
          </w:rPr>
          <w:t>https://www.irena.org/Publications/2023/Mar/World-Energy-Transitions-Outlook-2023</w:t>
        </w:r>
      </w:hyperlink>
      <w:r w:rsidR="006727A0">
        <w:rPr>
          <w:rFonts w:ascii="Calibri" w:hAnsi="Calibri" w:cs="Calibri"/>
          <w:sz w:val="22"/>
          <w:szCs w:val="22"/>
        </w:rPr>
        <w:t xml:space="preserve"> </w:t>
      </w:r>
    </w:p>
    <w:sectPr w:rsidR="003D583A" w:rsidRPr="006537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26E2" w14:textId="77777777" w:rsidR="00F65DFB" w:rsidRDefault="00F65DFB" w:rsidP="00A27784">
      <w:r>
        <w:separator/>
      </w:r>
    </w:p>
  </w:endnote>
  <w:endnote w:type="continuationSeparator" w:id="0">
    <w:p w14:paraId="3602BC8C" w14:textId="77777777" w:rsidR="00F65DFB" w:rsidRDefault="00F65DFB" w:rsidP="00A2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860735"/>
      <w:docPartObj>
        <w:docPartGallery w:val="Page Numbers (Bottom of Page)"/>
        <w:docPartUnique/>
      </w:docPartObj>
    </w:sdtPr>
    <w:sdtEndPr>
      <w:rPr>
        <w:noProof/>
      </w:rPr>
    </w:sdtEndPr>
    <w:sdtContent>
      <w:p w14:paraId="66591684" w14:textId="247A8AEA" w:rsidR="006E62D9" w:rsidRDefault="006E62D9" w:rsidP="006E62D9">
        <w:pPr>
          <w:pStyle w:val="Piedepgina"/>
          <w:jc w:val="right"/>
        </w:pPr>
        <w:r>
          <w:t xml:space="preserve">Page </w:t>
        </w:r>
        <w:r>
          <w:fldChar w:fldCharType="begin"/>
        </w:r>
        <w:r>
          <w:instrText xml:space="preserve"> PAGE   \* MERGEFORMAT </w:instrText>
        </w:r>
        <w:r>
          <w:fldChar w:fldCharType="separate"/>
        </w:r>
        <w:r w:rsidR="002A6A9B">
          <w:rPr>
            <w:noProof/>
          </w:rPr>
          <w:t>5</w:t>
        </w:r>
        <w:r>
          <w:rPr>
            <w:noProof/>
          </w:rPr>
          <w:fldChar w:fldCharType="end"/>
        </w:r>
        <w:r>
          <w:rPr>
            <w:noProof/>
          </w:rPr>
          <w:t xml:space="preserve"> of  Terms of Reference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079B" w14:textId="77777777" w:rsidR="00F65DFB" w:rsidRDefault="00F65DFB" w:rsidP="00A27784">
      <w:r>
        <w:separator/>
      </w:r>
    </w:p>
  </w:footnote>
  <w:footnote w:type="continuationSeparator" w:id="0">
    <w:p w14:paraId="598F4562" w14:textId="77777777" w:rsidR="00F65DFB" w:rsidRDefault="00F65DFB" w:rsidP="00A2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1682" w14:textId="69D0E7BC" w:rsidR="00A27784" w:rsidRDefault="59DE1365" w:rsidP="003277B0">
    <w:pPr>
      <w:pStyle w:val="Encabezado"/>
    </w:pPr>
    <w:r>
      <w:rPr>
        <w:noProof/>
        <w:lang w:val="es-ES" w:eastAsia="es-ES"/>
      </w:rPr>
      <w:drawing>
        <wp:inline distT="0" distB="0" distL="0" distR="0" wp14:anchorId="154E0895" wp14:editId="00F23731">
          <wp:extent cx="1476375" cy="37449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76375" cy="374495"/>
                  </a:xfrm>
                  <a:prstGeom prst="rect">
                    <a:avLst/>
                  </a:prstGeom>
                </pic:spPr>
              </pic:pic>
            </a:graphicData>
          </a:graphic>
        </wp:inline>
      </w:drawing>
    </w:r>
    <w:r w:rsidRPr="59DE1365">
      <w:rPr>
        <w:i/>
        <w:iCs/>
        <w:color w:val="4F81BD" w:themeColor="accent1"/>
      </w:rPr>
      <w:t xml:space="preserve">                                                                                 </w:t>
    </w:r>
  </w:p>
  <w:p w14:paraId="66591683" w14:textId="77777777" w:rsidR="006E62D9" w:rsidRPr="006E62D9" w:rsidRDefault="006E62D9">
    <w:pPr>
      <w:pStyle w:val="Encabezado"/>
      <w:rPr>
        <w:i/>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9C7"/>
    <w:multiLevelType w:val="hybridMultilevel"/>
    <w:tmpl w:val="CCBAB840"/>
    <w:lvl w:ilvl="0" w:tplc="FFFFFFFF">
      <w:start w:val="1"/>
      <w:numFmt w:val="lowerLetter"/>
      <w:lvlText w:val="%1."/>
      <w:lvlJc w:val="left"/>
      <w:pPr>
        <w:ind w:left="900" w:hanging="360"/>
      </w:pPr>
    </w:lvl>
    <w:lvl w:ilvl="1" w:tplc="FFFFFFFF">
      <w:start w:val="1"/>
      <w:numFmt w:val="lowerLetter"/>
      <w:lvlText w:val="%2."/>
      <w:lvlJc w:val="left"/>
      <w:pPr>
        <w:ind w:left="1620" w:hanging="360"/>
      </w:pPr>
    </w:lvl>
    <w:lvl w:ilvl="2" w:tplc="FFFFFFFF">
      <w:start w:val="1"/>
      <w:numFmt w:val="lowerRoman"/>
      <w:lvlText w:val="%3."/>
      <w:lvlJc w:val="right"/>
      <w:pPr>
        <w:ind w:left="2340" w:hanging="180"/>
      </w:pPr>
    </w:lvl>
    <w:lvl w:ilvl="3" w:tplc="FFFFFFFF">
      <w:start w:val="1"/>
      <w:numFmt w:val="decimal"/>
      <w:lvlText w:val="%4."/>
      <w:lvlJc w:val="left"/>
      <w:pPr>
        <w:ind w:left="3060" w:hanging="360"/>
      </w:pPr>
    </w:lvl>
    <w:lvl w:ilvl="4" w:tplc="FFFFFFFF">
      <w:start w:val="1"/>
      <w:numFmt w:val="lowerLetter"/>
      <w:lvlText w:val="%5."/>
      <w:lvlJc w:val="left"/>
      <w:pPr>
        <w:ind w:left="3780" w:hanging="360"/>
      </w:pPr>
    </w:lvl>
    <w:lvl w:ilvl="5" w:tplc="FFFFFFFF">
      <w:start w:val="1"/>
      <w:numFmt w:val="lowerRoman"/>
      <w:lvlText w:val="%6."/>
      <w:lvlJc w:val="right"/>
      <w:pPr>
        <w:ind w:left="4500" w:hanging="180"/>
      </w:pPr>
    </w:lvl>
    <w:lvl w:ilvl="6" w:tplc="FFFFFFFF">
      <w:start w:val="1"/>
      <w:numFmt w:val="decimal"/>
      <w:lvlText w:val="%7."/>
      <w:lvlJc w:val="left"/>
      <w:pPr>
        <w:ind w:left="5220" w:hanging="360"/>
      </w:pPr>
    </w:lvl>
    <w:lvl w:ilvl="7" w:tplc="FFFFFFFF">
      <w:start w:val="1"/>
      <w:numFmt w:val="lowerLetter"/>
      <w:lvlText w:val="%8."/>
      <w:lvlJc w:val="left"/>
      <w:pPr>
        <w:ind w:left="5940" w:hanging="360"/>
      </w:pPr>
    </w:lvl>
    <w:lvl w:ilvl="8" w:tplc="FFFFFFFF">
      <w:start w:val="1"/>
      <w:numFmt w:val="lowerRoman"/>
      <w:lvlText w:val="%9."/>
      <w:lvlJc w:val="right"/>
      <w:pPr>
        <w:ind w:left="6660" w:hanging="180"/>
      </w:pPr>
    </w:lvl>
  </w:abstractNum>
  <w:abstractNum w:abstractNumId="1" w15:restartNumberingAfterBreak="0">
    <w:nsid w:val="0CCA4D97"/>
    <w:multiLevelType w:val="hybridMultilevel"/>
    <w:tmpl w:val="5E5C49BE"/>
    <w:lvl w:ilvl="0" w:tplc="ABB24ED2">
      <w:start w:val="1"/>
      <w:numFmt w:val="decimal"/>
      <w:lvlText w:val="%1."/>
      <w:lvlJc w:val="left"/>
      <w:pPr>
        <w:ind w:left="720" w:hanging="360"/>
      </w:pPr>
      <w:rPr>
        <w:rFonts w:ascii="Times New Roman" w:hAnsi="Times New Roman" w:hint="default"/>
        <w:b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5E289E"/>
    <w:multiLevelType w:val="hybridMultilevel"/>
    <w:tmpl w:val="08DE80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4D61CCC"/>
    <w:multiLevelType w:val="hybridMultilevel"/>
    <w:tmpl w:val="52702992"/>
    <w:lvl w:ilvl="0" w:tplc="2486A79C">
      <w:start w:val="1"/>
      <w:numFmt w:val="decimal"/>
      <w:lvlText w:val="%1."/>
      <w:lvlJc w:val="left"/>
      <w:pPr>
        <w:ind w:left="540" w:hanging="360"/>
      </w:pPr>
      <w:rPr>
        <w:b/>
        <w:bCs/>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 w15:restartNumberingAfterBreak="0">
    <w:nsid w:val="17B77BA9"/>
    <w:multiLevelType w:val="hybridMultilevel"/>
    <w:tmpl w:val="CCBAB840"/>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5" w15:restartNumberingAfterBreak="0">
    <w:nsid w:val="17D87503"/>
    <w:multiLevelType w:val="hybridMultilevel"/>
    <w:tmpl w:val="6C661D14"/>
    <w:lvl w:ilvl="0" w:tplc="04090019">
      <w:start w:val="1"/>
      <w:numFmt w:val="lowerLetter"/>
      <w:lvlText w:val="%1."/>
      <w:lvlJc w:val="left"/>
      <w:pPr>
        <w:ind w:left="1620" w:hanging="360"/>
      </w:pPr>
    </w:lvl>
    <w:lvl w:ilvl="1" w:tplc="580A0019">
      <w:start w:val="1"/>
      <w:numFmt w:val="lowerLetter"/>
      <w:lvlText w:val="%2."/>
      <w:lvlJc w:val="left"/>
      <w:pPr>
        <w:ind w:left="2160" w:hanging="360"/>
      </w:pPr>
    </w:lvl>
    <w:lvl w:ilvl="2" w:tplc="580A001B">
      <w:start w:val="1"/>
      <w:numFmt w:val="lowerRoman"/>
      <w:lvlText w:val="%3."/>
      <w:lvlJc w:val="right"/>
      <w:pPr>
        <w:ind w:left="2880" w:hanging="180"/>
      </w:pPr>
    </w:lvl>
    <w:lvl w:ilvl="3" w:tplc="580A000F">
      <w:start w:val="1"/>
      <w:numFmt w:val="decimal"/>
      <w:lvlText w:val="%4."/>
      <w:lvlJc w:val="left"/>
      <w:pPr>
        <w:ind w:left="3600" w:hanging="360"/>
      </w:pPr>
    </w:lvl>
    <w:lvl w:ilvl="4" w:tplc="580A0019">
      <w:start w:val="1"/>
      <w:numFmt w:val="lowerLetter"/>
      <w:lvlText w:val="%5."/>
      <w:lvlJc w:val="left"/>
      <w:pPr>
        <w:ind w:left="4320" w:hanging="360"/>
      </w:pPr>
    </w:lvl>
    <w:lvl w:ilvl="5" w:tplc="580A001B">
      <w:start w:val="1"/>
      <w:numFmt w:val="lowerRoman"/>
      <w:lvlText w:val="%6."/>
      <w:lvlJc w:val="right"/>
      <w:pPr>
        <w:ind w:left="5040" w:hanging="180"/>
      </w:pPr>
    </w:lvl>
    <w:lvl w:ilvl="6" w:tplc="580A000F">
      <w:start w:val="1"/>
      <w:numFmt w:val="decimal"/>
      <w:lvlText w:val="%7."/>
      <w:lvlJc w:val="left"/>
      <w:pPr>
        <w:ind w:left="5760" w:hanging="360"/>
      </w:pPr>
    </w:lvl>
    <w:lvl w:ilvl="7" w:tplc="580A0019">
      <w:start w:val="1"/>
      <w:numFmt w:val="lowerLetter"/>
      <w:lvlText w:val="%8."/>
      <w:lvlJc w:val="left"/>
      <w:pPr>
        <w:ind w:left="6480" w:hanging="360"/>
      </w:pPr>
    </w:lvl>
    <w:lvl w:ilvl="8" w:tplc="580A001B">
      <w:start w:val="1"/>
      <w:numFmt w:val="lowerRoman"/>
      <w:lvlText w:val="%9."/>
      <w:lvlJc w:val="right"/>
      <w:pPr>
        <w:ind w:left="7200" w:hanging="180"/>
      </w:pPr>
    </w:lvl>
  </w:abstractNum>
  <w:abstractNum w:abstractNumId="6" w15:restartNumberingAfterBreak="0">
    <w:nsid w:val="1F912B0E"/>
    <w:multiLevelType w:val="multilevel"/>
    <w:tmpl w:val="5630E696"/>
    <w:lvl w:ilvl="0">
      <w:start w:val="1"/>
      <w:numFmt w:val="decimal"/>
      <w:lvlText w:val="%1."/>
      <w:lvlJc w:val="left"/>
      <w:pPr>
        <w:ind w:left="360" w:hanging="360"/>
      </w:pPr>
      <w:rPr>
        <w:b/>
      </w:rPr>
    </w:lvl>
    <w:lvl w:ilvl="1">
      <w:start w:val="1"/>
      <w:numFmt w:val="decimal"/>
      <w:lvlText w:val="%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7" w15:restartNumberingAfterBreak="0">
    <w:nsid w:val="2E472601"/>
    <w:multiLevelType w:val="hybridMultilevel"/>
    <w:tmpl w:val="37C26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165243"/>
    <w:multiLevelType w:val="hybridMultilevel"/>
    <w:tmpl w:val="1334F240"/>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420867FE"/>
    <w:multiLevelType w:val="hybridMultilevel"/>
    <w:tmpl w:val="B260A056"/>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 w15:restartNumberingAfterBreak="0">
    <w:nsid w:val="51381C49"/>
    <w:multiLevelType w:val="hybridMultilevel"/>
    <w:tmpl w:val="7BDE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1B0C47"/>
    <w:multiLevelType w:val="hybridMultilevel"/>
    <w:tmpl w:val="87402532"/>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2" w15:restartNumberingAfterBreak="0">
    <w:nsid w:val="5BB8601F"/>
    <w:multiLevelType w:val="hybridMultilevel"/>
    <w:tmpl w:val="B7CA4F3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5CAF6B35"/>
    <w:multiLevelType w:val="hybridMultilevel"/>
    <w:tmpl w:val="5DB67EA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5DBB24ED"/>
    <w:multiLevelType w:val="hybridMultilevel"/>
    <w:tmpl w:val="BC188F00"/>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5" w15:restartNumberingAfterBreak="0">
    <w:nsid w:val="621E51D1"/>
    <w:multiLevelType w:val="hybridMultilevel"/>
    <w:tmpl w:val="ADF4F722"/>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6" w15:restartNumberingAfterBreak="0">
    <w:nsid w:val="63C65F78"/>
    <w:multiLevelType w:val="multilevel"/>
    <w:tmpl w:val="13002CE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926174"/>
    <w:multiLevelType w:val="hybridMultilevel"/>
    <w:tmpl w:val="E30267E6"/>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8" w15:restartNumberingAfterBreak="0">
    <w:nsid w:val="6D8C65FA"/>
    <w:multiLevelType w:val="hybridMultilevel"/>
    <w:tmpl w:val="06960D4C"/>
    <w:lvl w:ilvl="0" w:tplc="98BE4462">
      <w:start w:val="4"/>
      <w:numFmt w:val="decimal"/>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596165">
    <w:abstractNumId w:val="16"/>
  </w:num>
  <w:num w:numId="2" w16cid:durableId="1144851144">
    <w:abstractNumId w:val="1"/>
  </w:num>
  <w:num w:numId="3" w16cid:durableId="726952756">
    <w:abstractNumId w:val="18"/>
  </w:num>
  <w:num w:numId="4" w16cid:durableId="1856188921">
    <w:abstractNumId w:val="12"/>
  </w:num>
  <w:num w:numId="5" w16cid:durableId="19845057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505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0717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02152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29166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8683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49333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7003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51794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64385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10159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10762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1849535">
    <w:abstractNumId w:val="2"/>
  </w:num>
  <w:num w:numId="18" w16cid:durableId="1886135173">
    <w:abstractNumId w:val="10"/>
  </w:num>
  <w:num w:numId="19" w16cid:durableId="369454820">
    <w:abstractNumId w:val="3"/>
  </w:num>
  <w:num w:numId="20" w16cid:durableId="1060208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1tjAyNTQyNjMGkko6SsGpxcWZ+XkgBYa1AHPlI6MsAAAA"/>
  </w:docVars>
  <w:rsids>
    <w:rsidRoot w:val="00A27784"/>
    <w:rsid w:val="000058C3"/>
    <w:rsid w:val="00005B4F"/>
    <w:rsid w:val="00012A20"/>
    <w:rsid w:val="000132A3"/>
    <w:rsid w:val="00017F92"/>
    <w:rsid w:val="00031CBB"/>
    <w:rsid w:val="00032990"/>
    <w:rsid w:val="00041460"/>
    <w:rsid w:val="00045A10"/>
    <w:rsid w:val="00063BC3"/>
    <w:rsid w:val="000749C2"/>
    <w:rsid w:val="00083676"/>
    <w:rsid w:val="000B3905"/>
    <w:rsid w:val="000B7500"/>
    <w:rsid w:val="000C2C5C"/>
    <w:rsid w:val="000D57EC"/>
    <w:rsid w:val="000E1F1D"/>
    <w:rsid w:val="000E7FD1"/>
    <w:rsid w:val="000F398F"/>
    <w:rsid w:val="000F7796"/>
    <w:rsid w:val="000F7956"/>
    <w:rsid w:val="00103AA5"/>
    <w:rsid w:val="001065EB"/>
    <w:rsid w:val="001264AC"/>
    <w:rsid w:val="001274D8"/>
    <w:rsid w:val="00127BE8"/>
    <w:rsid w:val="00131731"/>
    <w:rsid w:val="00133116"/>
    <w:rsid w:val="001406A4"/>
    <w:rsid w:val="00143E6E"/>
    <w:rsid w:val="001446C1"/>
    <w:rsid w:val="00165AA3"/>
    <w:rsid w:val="0016668A"/>
    <w:rsid w:val="0018080E"/>
    <w:rsid w:val="00181297"/>
    <w:rsid w:val="00183011"/>
    <w:rsid w:val="001A0F98"/>
    <w:rsid w:val="001A31CC"/>
    <w:rsid w:val="001A392D"/>
    <w:rsid w:val="001B4A71"/>
    <w:rsid w:val="001B4CDB"/>
    <w:rsid w:val="001C1525"/>
    <w:rsid w:val="001D23F0"/>
    <w:rsid w:val="001D408E"/>
    <w:rsid w:val="001E3DA6"/>
    <w:rsid w:val="001F7B55"/>
    <w:rsid w:val="00200480"/>
    <w:rsid w:val="002020F9"/>
    <w:rsid w:val="00204E88"/>
    <w:rsid w:val="002162D7"/>
    <w:rsid w:val="0022059B"/>
    <w:rsid w:val="0022421E"/>
    <w:rsid w:val="002422EC"/>
    <w:rsid w:val="00242312"/>
    <w:rsid w:val="00242EC2"/>
    <w:rsid w:val="002473C0"/>
    <w:rsid w:val="00247533"/>
    <w:rsid w:val="00257BC6"/>
    <w:rsid w:val="002648E5"/>
    <w:rsid w:val="00272550"/>
    <w:rsid w:val="002A6A9B"/>
    <w:rsid w:val="002B26CA"/>
    <w:rsid w:val="002B471E"/>
    <w:rsid w:val="002D194E"/>
    <w:rsid w:val="002D3567"/>
    <w:rsid w:val="002D3B08"/>
    <w:rsid w:val="002F1F6E"/>
    <w:rsid w:val="002F58C3"/>
    <w:rsid w:val="002F5C85"/>
    <w:rsid w:val="002F7D04"/>
    <w:rsid w:val="00301A19"/>
    <w:rsid w:val="00307C08"/>
    <w:rsid w:val="00313448"/>
    <w:rsid w:val="00313ADD"/>
    <w:rsid w:val="00322CF4"/>
    <w:rsid w:val="003277B0"/>
    <w:rsid w:val="00340C42"/>
    <w:rsid w:val="00355A2C"/>
    <w:rsid w:val="003651E4"/>
    <w:rsid w:val="0036773C"/>
    <w:rsid w:val="00374590"/>
    <w:rsid w:val="00376455"/>
    <w:rsid w:val="00377864"/>
    <w:rsid w:val="003865D6"/>
    <w:rsid w:val="003A384C"/>
    <w:rsid w:val="003A3DAC"/>
    <w:rsid w:val="003B5CCF"/>
    <w:rsid w:val="003C1D17"/>
    <w:rsid w:val="003C4E12"/>
    <w:rsid w:val="003C63E0"/>
    <w:rsid w:val="003C70A6"/>
    <w:rsid w:val="003D46B4"/>
    <w:rsid w:val="003D583A"/>
    <w:rsid w:val="003D78DE"/>
    <w:rsid w:val="003E6445"/>
    <w:rsid w:val="003F63DC"/>
    <w:rsid w:val="003F7D4D"/>
    <w:rsid w:val="0040254E"/>
    <w:rsid w:val="004062F8"/>
    <w:rsid w:val="00416A93"/>
    <w:rsid w:val="00417E2C"/>
    <w:rsid w:val="004256BC"/>
    <w:rsid w:val="00431447"/>
    <w:rsid w:val="004336B2"/>
    <w:rsid w:val="00440BFD"/>
    <w:rsid w:val="00445D7C"/>
    <w:rsid w:val="00452F89"/>
    <w:rsid w:val="00455979"/>
    <w:rsid w:val="00455CAD"/>
    <w:rsid w:val="004615ED"/>
    <w:rsid w:val="00462E3F"/>
    <w:rsid w:val="00471A16"/>
    <w:rsid w:val="004748E3"/>
    <w:rsid w:val="00477536"/>
    <w:rsid w:val="00485696"/>
    <w:rsid w:val="0048610D"/>
    <w:rsid w:val="00494624"/>
    <w:rsid w:val="004962C5"/>
    <w:rsid w:val="004A1832"/>
    <w:rsid w:val="004A4B64"/>
    <w:rsid w:val="004B0E97"/>
    <w:rsid w:val="004C5B0B"/>
    <w:rsid w:val="004D1B0C"/>
    <w:rsid w:val="004D4F8D"/>
    <w:rsid w:val="004E5252"/>
    <w:rsid w:val="004F39F1"/>
    <w:rsid w:val="005001AB"/>
    <w:rsid w:val="00510B01"/>
    <w:rsid w:val="0051771D"/>
    <w:rsid w:val="00522995"/>
    <w:rsid w:val="005338F4"/>
    <w:rsid w:val="00536778"/>
    <w:rsid w:val="00540797"/>
    <w:rsid w:val="005418FB"/>
    <w:rsid w:val="0055368A"/>
    <w:rsid w:val="00564AB4"/>
    <w:rsid w:val="00564E2A"/>
    <w:rsid w:val="0056648F"/>
    <w:rsid w:val="00566C26"/>
    <w:rsid w:val="00577832"/>
    <w:rsid w:val="005845A1"/>
    <w:rsid w:val="00584665"/>
    <w:rsid w:val="005954E2"/>
    <w:rsid w:val="00596C97"/>
    <w:rsid w:val="005972FF"/>
    <w:rsid w:val="005A0EE5"/>
    <w:rsid w:val="005A1508"/>
    <w:rsid w:val="005B0A5C"/>
    <w:rsid w:val="005B30E5"/>
    <w:rsid w:val="005B4CE5"/>
    <w:rsid w:val="005B54D8"/>
    <w:rsid w:val="005C4C9B"/>
    <w:rsid w:val="005D0866"/>
    <w:rsid w:val="005D4637"/>
    <w:rsid w:val="005D7F0B"/>
    <w:rsid w:val="005E0810"/>
    <w:rsid w:val="005E4CE2"/>
    <w:rsid w:val="005E5256"/>
    <w:rsid w:val="005E7A84"/>
    <w:rsid w:val="005F42EE"/>
    <w:rsid w:val="005F5BD1"/>
    <w:rsid w:val="006048C9"/>
    <w:rsid w:val="00606202"/>
    <w:rsid w:val="00607581"/>
    <w:rsid w:val="00615112"/>
    <w:rsid w:val="0061546E"/>
    <w:rsid w:val="00626719"/>
    <w:rsid w:val="00630FD5"/>
    <w:rsid w:val="0063697F"/>
    <w:rsid w:val="006407EC"/>
    <w:rsid w:val="0064442C"/>
    <w:rsid w:val="00651548"/>
    <w:rsid w:val="00652120"/>
    <w:rsid w:val="0065375E"/>
    <w:rsid w:val="00656643"/>
    <w:rsid w:val="0066187B"/>
    <w:rsid w:val="0066563E"/>
    <w:rsid w:val="00665695"/>
    <w:rsid w:val="00671E6F"/>
    <w:rsid w:val="006727A0"/>
    <w:rsid w:val="00682719"/>
    <w:rsid w:val="006835A3"/>
    <w:rsid w:val="006879CD"/>
    <w:rsid w:val="00692B28"/>
    <w:rsid w:val="006A2258"/>
    <w:rsid w:val="006A2CD4"/>
    <w:rsid w:val="006A2FF2"/>
    <w:rsid w:val="006A638F"/>
    <w:rsid w:val="006B5D17"/>
    <w:rsid w:val="006D3A88"/>
    <w:rsid w:val="006D4090"/>
    <w:rsid w:val="006E2D5D"/>
    <w:rsid w:val="006E3638"/>
    <w:rsid w:val="006E3F9A"/>
    <w:rsid w:val="006E41B8"/>
    <w:rsid w:val="006E62D9"/>
    <w:rsid w:val="006E6890"/>
    <w:rsid w:val="006F207A"/>
    <w:rsid w:val="006F6D66"/>
    <w:rsid w:val="00706759"/>
    <w:rsid w:val="0071199E"/>
    <w:rsid w:val="0071202E"/>
    <w:rsid w:val="00712AE7"/>
    <w:rsid w:val="0071365C"/>
    <w:rsid w:val="00713FA2"/>
    <w:rsid w:val="00721444"/>
    <w:rsid w:val="0073141F"/>
    <w:rsid w:val="007334F2"/>
    <w:rsid w:val="007353C4"/>
    <w:rsid w:val="00737540"/>
    <w:rsid w:val="0075040B"/>
    <w:rsid w:val="00756533"/>
    <w:rsid w:val="00760483"/>
    <w:rsid w:val="00760773"/>
    <w:rsid w:val="00775745"/>
    <w:rsid w:val="00776BCC"/>
    <w:rsid w:val="0078701C"/>
    <w:rsid w:val="007877E7"/>
    <w:rsid w:val="00791570"/>
    <w:rsid w:val="007A08D6"/>
    <w:rsid w:val="007A7549"/>
    <w:rsid w:val="007A7588"/>
    <w:rsid w:val="007B6348"/>
    <w:rsid w:val="007B6ED0"/>
    <w:rsid w:val="007C51BB"/>
    <w:rsid w:val="007E1385"/>
    <w:rsid w:val="007E6DF5"/>
    <w:rsid w:val="007F2EBE"/>
    <w:rsid w:val="0080701B"/>
    <w:rsid w:val="0081125A"/>
    <w:rsid w:val="00815EFC"/>
    <w:rsid w:val="008316FF"/>
    <w:rsid w:val="00844932"/>
    <w:rsid w:val="008518E5"/>
    <w:rsid w:val="00854CAF"/>
    <w:rsid w:val="00857519"/>
    <w:rsid w:val="00861E44"/>
    <w:rsid w:val="00862887"/>
    <w:rsid w:val="008644F0"/>
    <w:rsid w:val="008902CC"/>
    <w:rsid w:val="008938DD"/>
    <w:rsid w:val="00893FE3"/>
    <w:rsid w:val="00897036"/>
    <w:rsid w:val="008A139F"/>
    <w:rsid w:val="008A1676"/>
    <w:rsid w:val="008C2C7B"/>
    <w:rsid w:val="008D7E42"/>
    <w:rsid w:val="008F253C"/>
    <w:rsid w:val="009010D9"/>
    <w:rsid w:val="00902DFC"/>
    <w:rsid w:val="0090366A"/>
    <w:rsid w:val="00912C80"/>
    <w:rsid w:val="009141B6"/>
    <w:rsid w:val="00915043"/>
    <w:rsid w:val="00915279"/>
    <w:rsid w:val="00915541"/>
    <w:rsid w:val="00925AE5"/>
    <w:rsid w:val="00937D46"/>
    <w:rsid w:val="009427B0"/>
    <w:rsid w:val="00945361"/>
    <w:rsid w:val="00946251"/>
    <w:rsid w:val="00954609"/>
    <w:rsid w:val="009603E8"/>
    <w:rsid w:val="00960F6D"/>
    <w:rsid w:val="00961A44"/>
    <w:rsid w:val="009650FF"/>
    <w:rsid w:val="00966010"/>
    <w:rsid w:val="00967C8F"/>
    <w:rsid w:val="00977E6C"/>
    <w:rsid w:val="009814C5"/>
    <w:rsid w:val="00994E6A"/>
    <w:rsid w:val="009B390F"/>
    <w:rsid w:val="009B6700"/>
    <w:rsid w:val="009B723E"/>
    <w:rsid w:val="009C2F25"/>
    <w:rsid w:val="009D0FFA"/>
    <w:rsid w:val="009D1943"/>
    <w:rsid w:val="009D25CB"/>
    <w:rsid w:val="009E0E3D"/>
    <w:rsid w:val="009E312E"/>
    <w:rsid w:val="009F0830"/>
    <w:rsid w:val="009F2509"/>
    <w:rsid w:val="00A0691A"/>
    <w:rsid w:val="00A143E9"/>
    <w:rsid w:val="00A14CF6"/>
    <w:rsid w:val="00A15B0F"/>
    <w:rsid w:val="00A16693"/>
    <w:rsid w:val="00A20C25"/>
    <w:rsid w:val="00A27784"/>
    <w:rsid w:val="00A3016D"/>
    <w:rsid w:val="00A344DE"/>
    <w:rsid w:val="00A4294A"/>
    <w:rsid w:val="00A45EC4"/>
    <w:rsid w:val="00A5239E"/>
    <w:rsid w:val="00A52607"/>
    <w:rsid w:val="00A52B4C"/>
    <w:rsid w:val="00A5577D"/>
    <w:rsid w:val="00A61C39"/>
    <w:rsid w:val="00A623F2"/>
    <w:rsid w:val="00A76F68"/>
    <w:rsid w:val="00A8168E"/>
    <w:rsid w:val="00A903A3"/>
    <w:rsid w:val="00A90B33"/>
    <w:rsid w:val="00A95420"/>
    <w:rsid w:val="00AA1695"/>
    <w:rsid w:val="00AA59E8"/>
    <w:rsid w:val="00AB106E"/>
    <w:rsid w:val="00AB2A19"/>
    <w:rsid w:val="00AB3EED"/>
    <w:rsid w:val="00AB6A82"/>
    <w:rsid w:val="00AD059E"/>
    <w:rsid w:val="00AD1597"/>
    <w:rsid w:val="00AD54A6"/>
    <w:rsid w:val="00AE4693"/>
    <w:rsid w:val="00AE69C9"/>
    <w:rsid w:val="00AE7EF2"/>
    <w:rsid w:val="00AF5283"/>
    <w:rsid w:val="00AF77B2"/>
    <w:rsid w:val="00B01B01"/>
    <w:rsid w:val="00B06CFC"/>
    <w:rsid w:val="00B1331F"/>
    <w:rsid w:val="00B21198"/>
    <w:rsid w:val="00B271D7"/>
    <w:rsid w:val="00B40DD9"/>
    <w:rsid w:val="00B444AD"/>
    <w:rsid w:val="00B47990"/>
    <w:rsid w:val="00B5576F"/>
    <w:rsid w:val="00B60ABF"/>
    <w:rsid w:val="00B64B03"/>
    <w:rsid w:val="00B718A4"/>
    <w:rsid w:val="00B730DC"/>
    <w:rsid w:val="00B7602F"/>
    <w:rsid w:val="00B77D31"/>
    <w:rsid w:val="00B811B2"/>
    <w:rsid w:val="00B8218E"/>
    <w:rsid w:val="00B83BDD"/>
    <w:rsid w:val="00B8478E"/>
    <w:rsid w:val="00B84B25"/>
    <w:rsid w:val="00BA00F0"/>
    <w:rsid w:val="00BA50DB"/>
    <w:rsid w:val="00BC4F5D"/>
    <w:rsid w:val="00BE1FDB"/>
    <w:rsid w:val="00BE3592"/>
    <w:rsid w:val="00BF36CB"/>
    <w:rsid w:val="00C0197C"/>
    <w:rsid w:val="00C132A0"/>
    <w:rsid w:val="00C1497F"/>
    <w:rsid w:val="00C17A51"/>
    <w:rsid w:val="00C2237F"/>
    <w:rsid w:val="00C24075"/>
    <w:rsid w:val="00C34564"/>
    <w:rsid w:val="00C35111"/>
    <w:rsid w:val="00C50951"/>
    <w:rsid w:val="00C54832"/>
    <w:rsid w:val="00C56EB0"/>
    <w:rsid w:val="00C641CF"/>
    <w:rsid w:val="00C71A3F"/>
    <w:rsid w:val="00C80371"/>
    <w:rsid w:val="00C83594"/>
    <w:rsid w:val="00C85466"/>
    <w:rsid w:val="00CA1626"/>
    <w:rsid w:val="00CA3324"/>
    <w:rsid w:val="00CC37F5"/>
    <w:rsid w:val="00CC6319"/>
    <w:rsid w:val="00CE1499"/>
    <w:rsid w:val="00CE18C1"/>
    <w:rsid w:val="00CE27D0"/>
    <w:rsid w:val="00CE6488"/>
    <w:rsid w:val="00CE72C0"/>
    <w:rsid w:val="00CF10D1"/>
    <w:rsid w:val="00CF6541"/>
    <w:rsid w:val="00D029C6"/>
    <w:rsid w:val="00D06011"/>
    <w:rsid w:val="00D320B2"/>
    <w:rsid w:val="00D326E6"/>
    <w:rsid w:val="00D4437E"/>
    <w:rsid w:val="00D62748"/>
    <w:rsid w:val="00D76321"/>
    <w:rsid w:val="00D76C5F"/>
    <w:rsid w:val="00D93C67"/>
    <w:rsid w:val="00DA12A6"/>
    <w:rsid w:val="00DA2CF9"/>
    <w:rsid w:val="00DA7FED"/>
    <w:rsid w:val="00DB0F0B"/>
    <w:rsid w:val="00DB2F5A"/>
    <w:rsid w:val="00DB6CF6"/>
    <w:rsid w:val="00DC52E3"/>
    <w:rsid w:val="00DC75D4"/>
    <w:rsid w:val="00DE276A"/>
    <w:rsid w:val="00DE5C33"/>
    <w:rsid w:val="00DF3151"/>
    <w:rsid w:val="00DF7F62"/>
    <w:rsid w:val="00E0338D"/>
    <w:rsid w:val="00E1098A"/>
    <w:rsid w:val="00E12E45"/>
    <w:rsid w:val="00E15C43"/>
    <w:rsid w:val="00E165AB"/>
    <w:rsid w:val="00E33515"/>
    <w:rsid w:val="00E6060B"/>
    <w:rsid w:val="00E61E59"/>
    <w:rsid w:val="00E7044E"/>
    <w:rsid w:val="00E72517"/>
    <w:rsid w:val="00E735CC"/>
    <w:rsid w:val="00E770B1"/>
    <w:rsid w:val="00E86939"/>
    <w:rsid w:val="00E903C2"/>
    <w:rsid w:val="00E92B73"/>
    <w:rsid w:val="00EB18FB"/>
    <w:rsid w:val="00EC1986"/>
    <w:rsid w:val="00EC7C4B"/>
    <w:rsid w:val="00EE2D75"/>
    <w:rsid w:val="00F0391E"/>
    <w:rsid w:val="00F13FEA"/>
    <w:rsid w:val="00F35842"/>
    <w:rsid w:val="00F45F65"/>
    <w:rsid w:val="00F4617C"/>
    <w:rsid w:val="00F471BA"/>
    <w:rsid w:val="00F47EF1"/>
    <w:rsid w:val="00F545EB"/>
    <w:rsid w:val="00F61FF7"/>
    <w:rsid w:val="00F62E84"/>
    <w:rsid w:val="00F65DFB"/>
    <w:rsid w:val="00F77A09"/>
    <w:rsid w:val="00F77D42"/>
    <w:rsid w:val="00F806FD"/>
    <w:rsid w:val="00F83B76"/>
    <w:rsid w:val="00F84433"/>
    <w:rsid w:val="00F86D4A"/>
    <w:rsid w:val="00F9251C"/>
    <w:rsid w:val="00F94A65"/>
    <w:rsid w:val="00FA4A97"/>
    <w:rsid w:val="00FA54AA"/>
    <w:rsid w:val="00FA7CDD"/>
    <w:rsid w:val="00FB57BF"/>
    <w:rsid w:val="00FC19DE"/>
    <w:rsid w:val="00FD1553"/>
    <w:rsid w:val="00FE14E1"/>
    <w:rsid w:val="00FE4BD4"/>
    <w:rsid w:val="00FF2D7C"/>
    <w:rsid w:val="00FF6C9B"/>
    <w:rsid w:val="59DE1365"/>
    <w:rsid w:val="71B9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9162B"/>
  <w15:docId w15:val="{8F274C06-1D17-48E0-8319-5DBA3FC9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84"/>
    <w:pPr>
      <w:spacing w:after="0" w:line="240" w:lineRule="auto"/>
    </w:pPr>
    <w:rPr>
      <w:rFonts w:ascii="Arial" w:eastAsia="Times New Roman" w:hAnsi="Arial" w:cs="Times New Roman"/>
      <w:sz w:val="20"/>
      <w:szCs w:val="20"/>
    </w:rPr>
  </w:style>
  <w:style w:type="paragraph" w:styleId="Ttulo1">
    <w:name w:val="heading 1"/>
    <w:basedOn w:val="Normal"/>
    <w:next w:val="Normal"/>
    <w:link w:val="Ttulo1Car"/>
    <w:qFormat/>
    <w:rsid w:val="00A27784"/>
    <w:pPr>
      <w:keepNext/>
      <w:outlineLvl w:val="0"/>
    </w:pPr>
    <w:rPr>
      <w:rFonts w:ascii="Times New Roman" w:hAnsi="Times New Roman"/>
      <w:sz w:val="32"/>
    </w:rPr>
  </w:style>
  <w:style w:type="paragraph" w:styleId="Ttulo3">
    <w:name w:val="heading 3"/>
    <w:basedOn w:val="Normal"/>
    <w:next w:val="Normal"/>
    <w:link w:val="Ttulo3Car"/>
    <w:uiPriority w:val="9"/>
    <w:unhideWhenUsed/>
    <w:qFormat/>
    <w:rsid w:val="00AA59E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7784"/>
    <w:rPr>
      <w:rFonts w:ascii="Times New Roman" w:eastAsia="Times New Roman" w:hAnsi="Times New Roman" w:cs="Times New Roman"/>
      <w:sz w:val="32"/>
      <w:szCs w:val="20"/>
    </w:rPr>
  </w:style>
  <w:style w:type="table" w:styleId="Tablaconcuadrcula">
    <w:name w:val="Table Grid"/>
    <w:basedOn w:val="Tablanormal"/>
    <w:uiPriority w:val="59"/>
    <w:rsid w:val="00A27784"/>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A27784"/>
    <w:pPr>
      <w:ind w:left="720"/>
      <w:contextualSpacing/>
    </w:pPr>
    <w:rPr>
      <w:rFonts w:ascii="Times New Roman" w:hAnsi="Times New Roman"/>
    </w:rPr>
  </w:style>
  <w:style w:type="paragraph" w:styleId="Encabezado">
    <w:name w:val="header"/>
    <w:basedOn w:val="Normal"/>
    <w:link w:val="EncabezadoCar"/>
    <w:uiPriority w:val="99"/>
    <w:unhideWhenUsed/>
    <w:rsid w:val="00A27784"/>
    <w:pPr>
      <w:tabs>
        <w:tab w:val="center" w:pos="4680"/>
        <w:tab w:val="right" w:pos="9360"/>
      </w:tabs>
    </w:pPr>
  </w:style>
  <w:style w:type="character" w:customStyle="1" w:styleId="EncabezadoCar">
    <w:name w:val="Encabezado Car"/>
    <w:basedOn w:val="Fuentedeprrafopredeter"/>
    <w:link w:val="Encabezado"/>
    <w:uiPriority w:val="99"/>
    <w:rsid w:val="00A27784"/>
    <w:rPr>
      <w:rFonts w:ascii="Arial" w:eastAsia="Times New Roman" w:hAnsi="Arial" w:cs="Times New Roman"/>
      <w:sz w:val="20"/>
      <w:szCs w:val="20"/>
    </w:rPr>
  </w:style>
  <w:style w:type="paragraph" w:styleId="Piedepgina">
    <w:name w:val="footer"/>
    <w:basedOn w:val="Normal"/>
    <w:link w:val="PiedepginaCar"/>
    <w:uiPriority w:val="99"/>
    <w:unhideWhenUsed/>
    <w:rsid w:val="00A27784"/>
    <w:pPr>
      <w:tabs>
        <w:tab w:val="center" w:pos="4680"/>
        <w:tab w:val="right" w:pos="9360"/>
      </w:tabs>
    </w:pPr>
  </w:style>
  <w:style w:type="character" w:customStyle="1" w:styleId="PiedepginaCar">
    <w:name w:val="Pie de página Car"/>
    <w:basedOn w:val="Fuentedeprrafopredeter"/>
    <w:link w:val="Piedepgina"/>
    <w:uiPriority w:val="99"/>
    <w:rsid w:val="00A27784"/>
    <w:rPr>
      <w:rFonts w:ascii="Arial" w:eastAsia="Times New Roman" w:hAnsi="Arial" w:cs="Times New Roman"/>
      <w:sz w:val="20"/>
      <w:szCs w:val="20"/>
    </w:rPr>
  </w:style>
  <w:style w:type="character" w:styleId="Refdecomentario">
    <w:name w:val="annotation reference"/>
    <w:basedOn w:val="Fuentedeprrafopredeter"/>
    <w:uiPriority w:val="99"/>
    <w:semiHidden/>
    <w:unhideWhenUsed/>
    <w:rsid w:val="00AA59E8"/>
    <w:rPr>
      <w:sz w:val="16"/>
      <w:szCs w:val="16"/>
    </w:rPr>
  </w:style>
  <w:style w:type="paragraph" w:styleId="Textocomentario">
    <w:name w:val="annotation text"/>
    <w:basedOn w:val="Normal"/>
    <w:link w:val="TextocomentarioCar"/>
    <w:uiPriority w:val="99"/>
    <w:unhideWhenUsed/>
    <w:rsid w:val="00AA59E8"/>
  </w:style>
  <w:style w:type="character" w:customStyle="1" w:styleId="TextocomentarioCar">
    <w:name w:val="Texto comentario Car"/>
    <w:basedOn w:val="Fuentedeprrafopredeter"/>
    <w:link w:val="Textocomentario"/>
    <w:uiPriority w:val="99"/>
    <w:rsid w:val="00AA59E8"/>
    <w:rPr>
      <w:rFonts w:ascii="Arial" w:eastAsia="Times New Roman" w:hAnsi="Arial"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A59E8"/>
    <w:rPr>
      <w:b/>
      <w:bCs/>
    </w:rPr>
  </w:style>
  <w:style w:type="character" w:customStyle="1" w:styleId="AsuntodelcomentarioCar">
    <w:name w:val="Asunto del comentario Car"/>
    <w:basedOn w:val="TextocomentarioCar"/>
    <w:link w:val="Asuntodelcomentario"/>
    <w:uiPriority w:val="99"/>
    <w:semiHidden/>
    <w:rsid w:val="00AA59E8"/>
    <w:rPr>
      <w:rFonts w:ascii="Arial" w:eastAsia="Times New Roman" w:hAnsi="Arial" w:cs="Times New Roman"/>
      <w:b/>
      <w:bCs/>
      <w:sz w:val="20"/>
      <w:szCs w:val="20"/>
    </w:rPr>
  </w:style>
  <w:style w:type="paragraph" w:styleId="Textodeglobo">
    <w:name w:val="Balloon Text"/>
    <w:basedOn w:val="Normal"/>
    <w:link w:val="TextodegloboCar"/>
    <w:uiPriority w:val="99"/>
    <w:semiHidden/>
    <w:unhideWhenUsed/>
    <w:rsid w:val="00AA59E8"/>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9E8"/>
    <w:rPr>
      <w:rFonts w:ascii="Tahoma" w:eastAsia="Times New Roman" w:hAnsi="Tahoma" w:cs="Tahoma"/>
      <w:sz w:val="16"/>
      <w:szCs w:val="16"/>
    </w:rPr>
  </w:style>
  <w:style w:type="character" w:customStyle="1" w:styleId="Ttulo3Car">
    <w:name w:val="Título 3 Car"/>
    <w:basedOn w:val="Fuentedeprrafopredeter"/>
    <w:link w:val="Ttulo3"/>
    <w:uiPriority w:val="9"/>
    <w:rsid w:val="00AA59E8"/>
    <w:rPr>
      <w:rFonts w:asciiTheme="majorHAnsi" w:eastAsiaTheme="majorEastAsia" w:hAnsiTheme="majorHAnsi" w:cstheme="majorBidi"/>
      <w:b/>
      <w:bCs/>
      <w:color w:val="4F81BD" w:themeColor="accent1"/>
      <w:sz w:val="20"/>
      <w:szCs w:val="20"/>
    </w:rPr>
  </w:style>
  <w:style w:type="paragraph" w:styleId="Sangra3detindependiente">
    <w:name w:val="Body Text Indent 3"/>
    <w:basedOn w:val="Normal"/>
    <w:link w:val="Sangra3detindependienteCar"/>
    <w:unhideWhenUsed/>
    <w:rsid w:val="008A1676"/>
    <w:pPr>
      <w:widowControl w:val="0"/>
      <w:autoSpaceDE w:val="0"/>
      <w:autoSpaceDN w:val="0"/>
      <w:adjustRightInd w:val="0"/>
      <w:spacing w:after="120"/>
      <w:ind w:left="360"/>
    </w:pPr>
    <w:rPr>
      <w:rFonts w:eastAsiaTheme="minorEastAsia" w:cs="Arial"/>
      <w:color w:val="000000"/>
      <w:sz w:val="16"/>
      <w:szCs w:val="16"/>
      <w:lang w:val="es-AR" w:eastAsia="es-AR"/>
    </w:rPr>
  </w:style>
  <w:style w:type="character" w:customStyle="1" w:styleId="Sangra3detindependienteCar">
    <w:name w:val="Sangría 3 de t. independiente Car"/>
    <w:basedOn w:val="Fuentedeprrafopredeter"/>
    <w:link w:val="Sangra3detindependiente"/>
    <w:rsid w:val="008A1676"/>
    <w:rPr>
      <w:rFonts w:ascii="Arial" w:eastAsiaTheme="minorEastAsia" w:hAnsi="Arial" w:cs="Arial"/>
      <w:color w:val="000000"/>
      <w:sz w:val="16"/>
      <w:szCs w:val="16"/>
      <w:lang w:val="es-AR" w:eastAsia="es-AR"/>
    </w:rPr>
  </w:style>
  <w:style w:type="paragraph" w:styleId="Textoindependiente">
    <w:name w:val="Body Text"/>
    <w:basedOn w:val="Normal"/>
    <w:link w:val="TextoindependienteCar"/>
    <w:uiPriority w:val="99"/>
    <w:semiHidden/>
    <w:unhideWhenUsed/>
    <w:rsid w:val="008644F0"/>
    <w:pPr>
      <w:spacing w:after="120"/>
    </w:pPr>
  </w:style>
  <w:style w:type="character" w:customStyle="1" w:styleId="TextoindependienteCar">
    <w:name w:val="Texto independiente Car"/>
    <w:basedOn w:val="Fuentedeprrafopredeter"/>
    <w:link w:val="Textoindependiente"/>
    <w:uiPriority w:val="99"/>
    <w:semiHidden/>
    <w:rsid w:val="008644F0"/>
    <w:rPr>
      <w:rFonts w:ascii="Arial" w:eastAsia="Times New Roman" w:hAnsi="Arial" w:cs="Times New Roman"/>
      <w:sz w:val="20"/>
      <w:szCs w:val="20"/>
    </w:rPr>
  </w:style>
  <w:style w:type="paragraph" w:styleId="Sangradetextonormal">
    <w:name w:val="Body Text Indent"/>
    <w:basedOn w:val="Normal"/>
    <w:link w:val="SangradetextonormalCar"/>
    <w:uiPriority w:val="99"/>
    <w:semiHidden/>
    <w:unhideWhenUsed/>
    <w:rsid w:val="00615112"/>
    <w:pPr>
      <w:spacing w:after="120"/>
      <w:ind w:left="360"/>
    </w:pPr>
  </w:style>
  <w:style w:type="character" w:customStyle="1" w:styleId="SangradetextonormalCar">
    <w:name w:val="Sangría de texto normal Car"/>
    <w:basedOn w:val="Fuentedeprrafopredeter"/>
    <w:link w:val="Sangradetextonormal"/>
    <w:uiPriority w:val="99"/>
    <w:semiHidden/>
    <w:rsid w:val="00615112"/>
    <w:rPr>
      <w:rFonts w:ascii="Arial" w:eastAsia="Times New Roman" w:hAnsi="Arial" w:cs="Times New Roman"/>
      <w:sz w:val="20"/>
      <w:szCs w:val="20"/>
    </w:rPr>
  </w:style>
  <w:style w:type="character" w:customStyle="1" w:styleId="PrrafodelistaCar">
    <w:name w:val="Párrafo de lista Car"/>
    <w:link w:val="Prrafodelista"/>
    <w:uiPriority w:val="34"/>
    <w:locked/>
    <w:rsid w:val="00706759"/>
    <w:rPr>
      <w:rFonts w:ascii="Times New Roman" w:eastAsia="Times New Roman" w:hAnsi="Times New Roman" w:cs="Times New Roman"/>
      <w:sz w:val="20"/>
      <w:szCs w:val="20"/>
    </w:rPr>
  </w:style>
  <w:style w:type="paragraph" w:styleId="NormalWeb">
    <w:name w:val="Normal (Web)"/>
    <w:basedOn w:val="Normal"/>
    <w:uiPriority w:val="99"/>
    <w:semiHidden/>
    <w:unhideWhenUsed/>
    <w:rsid w:val="005972FF"/>
    <w:pPr>
      <w:spacing w:before="100" w:beforeAutospacing="1" w:after="100" w:afterAutospacing="1"/>
    </w:pPr>
    <w:rPr>
      <w:rFonts w:ascii="Times New Roman" w:eastAsiaTheme="minorEastAsia" w:hAnsi="Times New Roman"/>
      <w:sz w:val="24"/>
      <w:szCs w:val="24"/>
    </w:rPr>
  </w:style>
  <w:style w:type="paragraph" w:styleId="Textonotapie">
    <w:name w:val="footnote text"/>
    <w:basedOn w:val="Normal"/>
    <w:link w:val="TextonotapieCar"/>
    <w:uiPriority w:val="99"/>
    <w:semiHidden/>
    <w:unhideWhenUsed/>
    <w:rsid w:val="00C132A0"/>
    <w:rPr>
      <w:rFonts w:asciiTheme="minorHAnsi" w:eastAsiaTheme="minorHAnsi" w:hAnsiTheme="minorHAnsi" w:cstheme="minorBidi"/>
    </w:rPr>
  </w:style>
  <w:style w:type="character" w:customStyle="1" w:styleId="TextonotapieCar">
    <w:name w:val="Texto nota pie Car"/>
    <w:basedOn w:val="Fuentedeprrafopredeter"/>
    <w:link w:val="Textonotapie"/>
    <w:uiPriority w:val="99"/>
    <w:semiHidden/>
    <w:rsid w:val="00C132A0"/>
    <w:rPr>
      <w:sz w:val="20"/>
      <w:szCs w:val="20"/>
    </w:rPr>
  </w:style>
  <w:style w:type="character" w:styleId="Refdenotaalpie">
    <w:name w:val="footnote reference"/>
    <w:basedOn w:val="Fuentedeprrafopredeter"/>
    <w:uiPriority w:val="99"/>
    <w:semiHidden/>
    <w:unhideWhenUsed/>
    <w:rsid w:val="00C132A0"/>
    <w:rPr>
      <w:vertAlign w:val="superscript"/>
    </w:rPr>
  </w:style>
  <w:style w:type="table" w:customStyle="1" w:styleId="ProposalTable">
    <w:name w:val="Proposal Table"/>
    <w:basedOn w:val="Tablanormal"/>
    <w:uiPriority w:val="99"/>
    <w:rsid w:val="00584665"/>
    <w:pPr>
      <w:spacing w:before="120" w:after="120" w:line="240" w:lineRule="auto"/>
    </w:pPr>
    <w:rPr>
      <w:color w:val="404040" w:themeColor="text1" w:themeTint="BF"/>
      <w:sz w:val="18"/>
      <w:szCs w:val="18"/>
      <w:lang w:eastAsia="ja-JP"/>
    </w:rPr>
    <w:tblPr>
      <w:tblInd w:w="0" w:type="nil"/>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character" w:styleId="Hipervnculo">
    <w:name w:val="Hyperlink"/>
    <w:basedOn w:val="Fuentedeprrafopredeter"/>
    <w:uiPriority w:val="99"/>
    <w:unhideWhenUsed/>
    <w:rsid w:val="003D583A"/>
    <w:rPr>
      <w:color w:val="0000FF" w:themeColor="hyperlink"/>
      <w:u w:val="single"/>
    </w:rPr>
  </w:style>
  <w:style w:type="character" w:customStyle="1" w:styleId="Mencinsinresolver1">
    <w:name w:val="Mención sin resolver1"/>
    <w:basedOn w:val="Fuentedeprrafopredeter"/>
    <w:uiPriority w:val="99"/>
    <w:semiHidden/>
    <w:unhideWhenUsed/>
    <w:rsid w:val="00A344DE"/>
    <w:rPr>
      <w:color w:val="605E5C"/>
      <w:shd w:val="clear" w:color="auto" w:fill="E1DFDD"/>
    </w:rPr>
  </w:style>
  <w:style w:type="character" w:styleId="Hipervnculovisitado">
    <w:name w:val="FollowedHyperlink"/>
    <w:basedOn w:val="Fuentedeprrafopredeter"/>
    <w:uiPriority w:val="99"/>
    <w:semiHidden/>
    <w:unhideWhenUsed/>
    <w:rsid w:val="006A2FF2"/>
    <w:rPr>
      <w:color w:val="800080" w:themeColor="followedHyperlink"/>
      <w:u w:val="single"/>
    </w:rPr>
  </w:style>
  <w:style w:type="paragraph" w:styleId="Revisin">
    <w:name w:val="Revision"/>
    <w:hidden/>
    <w:uiPriority w:val="99"/>
    <w:semiHidden/>
    <w:rsid w:val="00C1497F"/>
    <w:pPr>
      <w:spacing w:after="0" w:line="240" w:lineRule="auto"/>
    </w:pPr>
    <w:rPr>
      <w:rFonts w:ascii="Arial" w:eastAsia="Times New Roman" w:hAnsi="Arial" w:cs="Times New Roman"/>
      <w:sz w:val="20"/>
      <w:szCs w:val="20"/>
    </w:rPr>
  </w:style>
  <w:style w:type="character" w:customStyle="1" w:styleId="rynqvb">
    <w:name w:val="rynqvb"/>
    <w:basedOn w:val="Fuentedeprrafopredeter"/>
    <w:rsid w:val="0021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1959">
      <w:bodyDiv w:val="1"/>
      <w:marLeft w:val="0"/>
      <w:marRight w:val="0"/>
      <w:marTop w:val="0"/>
      <w:marBottom w:val="0"/>
      <w:divBdr>
        <w:top w:val="none" w:sz="0" w:space="0" w:color="auto"/>
        <w:left w:val="none" w:sz="0" w:space="0" w:color="auto"/>
        <w:bottom w:val="none" w:sz="0" w:space="0" w:color="auto"/>
        <w:right w:val="none" w:sz="0" w:space="0" w:color="auto"/>
      </w:divBdr>
    </w:div>
    <w:div w:id="709647108">
      <w:bodyDiv w:val="1"/>
      <w:marLeft w:val="0"/>
      <w:marRight w:val="0"/>
      <w:marTop w:val="0"/>
      <w:marBottom w:val="0"/>
      <w:divBdr>
        <w:top w:val="none" w:sz="0" w:space="0" w:color="auto"/>
        <w:left w:val="none" w:sz="0" w:space="0" w:color="auto"/>
        <w:bottom w:val="none" w:sz="0" w:space="0" w:color="auto"/>
        <w:right w:val="none" w:sz="0" w:space="0" w:color="auto"/>
      </w:divBdr>
    </w:div>
    <w:div w:id="711272490">
      <w:bodyDiv w:val="1"/>
      <w:marLeft w:val="0"/>
      <w:marRight w:val="0"/>
      <w:marTop w:val="0"/>
      <w:marBottom w:val="0"/>
      <w:divBdr>
        <w:top w:val="none" w:sz="0" w:space="0" w:color="auto"/>
        <w:left w:val="none" w:sz="0" w:space="0" w:color="auto"/>
        <w:bottom w:val="none" w:sz="0" w:space="0" w:color="auto"/>
        <w:right w:val="none" w:sz="0" w:space="0" w:color="auto"/>
      </w:divBdr>
    </w:div>
    <w:div w:id="818810214">
      <w:bodyDiv w:val="1"/>
      <w:marLeft w:val="0"/>
      <w:marRight w:val="0"/>
      <w:marTop w:val="0"/>
      <w:marBottom w:val="0"/>
      <w:divBdr>
        <w:top w:val="none" w:sz="0" w:space="0" w:color="auto"/>
        <w:left w:val="none" w:sz="0" w:space="0" w:color="auto"/>
        <w:bottom w:val="none" w:sz="0" w:space="0" w:color="auto"/>
        <w:right w:val="none" w:sz="0" w:space="0" w:color="auto"/>
      </w:divBdr>
    </w:div>
    <w:div w:id="829491601">
      <w:bodyDiv w:val="1"/>
      <w:marLeft w:val="0"/>
      <w:marRight w:val="0"/>
      <w:marTop w:val="0"/>
      <w:marBottom w:val="0"/>
      <w:divBdr>
        <w:top w:val="none" w:sz="0" w:space="0" w:color="auto"/>
        <w:left w:val="none" w:sz="0" w:space="0" w:color="auto"/>
        <w:bottom w:val="none" w:sz="0" w:space="0" w:color="auto"/>
        <w:right w:val="none" w:sz="0" w:space="0" w:color="auto"/>
      </w:divBdr>
    </w:div>
    <w:div w:id="1071271818">
      <w:bodyDiv w:val="1"/>
      <w:marLeft w:val="0"/>
      <w:marRight w:val="0"/>
      <w:marTop w:val="0"/>
      <w:marBottom w:val="0"/>
      <w:divBdr>
        <w:top w:val="none" w:sz="0" w:space="0" w:color="auto"/>
        <w:left w:val="none" w:sz="0" w:space="0" w:color="auto"/>
        <w:bottom w:val="none" w:sz="0" w:space="0" w:color="auto"/>
        <w:right w:val="none" w:sz="0" w:space="0" w:color="auto"/>
      </w:divBdr>
    </w:div>
    <w:div w:id="1234118259">
      <w:bodyDiv w:val="1"/>
      <w:marLeft w:val="0"/>
      <w:marRight w:val="0"/>
      <w:marTop w:val="0"/>
      <w:marBottom w:val="0"/>
      <w:divBdr>
        <w:top w:val="none" w:sz="0" w:space="0" w:color="auto"/>
        <w:left w:val="none" w:sz="0" w:space="0" w:color="auto"/>
        <w:bottom w:val="none" w:sz="0" w:space="0" w:color="auto"/>
        <w:right w:val="none" w:sz="0" w:space="0" w:color="auto"/>
      </w:divBdr>
    </w:div>
    <w:div w:id="174097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16" Type="http://schemas.openxmlformats.org/officeDocument/2006/relationships/header" Target="header1.xml"/><Relationship Id="rId11" Type="http://schemas.openxmlformats.org/officeDocument/2006/relationships/webSettings" Target="webSetting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hyperlink" Target="https://www.irena.org/Publications/2023/Mar/World-Energy-Transitions-Outlook-2023" TargetMode="External"/><Relationship Id="rId10" Type="http://schemas.openxmlformats.org/officeDocument/2006/relationships/settings" Target="settings.xml"/><Relationship Id="rId19" Type="http://schemas.openxmlformats.org/officeDocument/2006/relationships/theme" Target="theme/theme1.xml"/><Relationship Id="rId14" Type="http://schemas.openxmlformats.org/officeDocument/2006/relationships/hyperlink" Target="mailto:jparedes@iadb.org" TargetMode="Externa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Urls xmlns="http://schemas.microsoft.com/sharepoint/v3/contenttype/forms/url">
  <Display>_catalogs/masterpage/ECMForms/CorporateCT/View.aspx</Display>
  <Edit>_catalogs/masterpage/ECMForms/CorporateCT/Edit.aspx</Edit>
</FormUrl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ae61f9b1-e23d-4f49-b3d7-56b991556c4b" ContentTypeId="0x0101000308A27134084F4AA40781B2DCA498A5" PreviousValue="false"/>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a6fbb4b4-dfcd-41b6-9bd0-53d8bb3c7401">
      <Terms xmlns="http://schemas.microsoft.com/office/infopath/2007/PartnerControls"/>
    </lcf76f155ced4ddcb4097134ff3c332f>
    <SharedWithUsers xmlns="829bb328-a8fa-4941-9c56-f14d2d39772a">
      <UserInfo>
        <DisplayName>Nunes da Cunha, Natascha</DisplayName>
        <AccountId>2384</AccountId>
        <AccountType/>
      </UserInfo>
      <UserInfo>
        <DisplayName>Salazar, Lina Piedad</DisplayName>
        <AccountId>2480</AccountId>
        <AccountType/>
      </UserInfo>
      <UserInfo>
        <DisplayName>Bravo Velasquez, Julianyth De Jesus</DisplayName>
        <AccountId>3481</AccountId>
        <AccountType/>
      </UserInfo>
      <UserInfo>
        <DisplayName>Vogt-Schilb, Adrien</DisplayName>
        <AccountId>2884</AccountId>
        <AccountType/>
      </UserInfo>
      <UserInfo>
        <DisplayName>Cafagna, Gianluca</DisplayName>
        <AccountId>2162</AccountId>
        <AccountType/>
      </UserInfo>
      <UserInfo>
        <DisplayName>Perez Calvo, Rafael Mauricio</DisplayName>
        <AccountId>527</AccountId>
        <AccountType/>
      </UserInfo>
      <UserInfo>
        <DisplayName>Chong Liu, Cecilia</DisplayName>
        <AccountId>1082</AccountId>
        <AccountType/>
      </UserInfo>
      <UserInfo>
        <DisplayName>Tovio Delgado, Alixa Argelis</DisplayName>
        <AccountId>4476</AccountId>
        <AccountType/>
      </UserInfo>
      <UserInfo>
        <DisplayName/>
        <AccountId>465</AccountId>
        <AccountType/>
      </UserInfo>
    </SharedWithUsers>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43CF67B18EF71D4C96F5B703CD28D96C" ma:contentTypeVersion="10" ma:contentTypeDescription="Create a new document." ma:contentTypeScope="" ma:versionID="a51cc14f008027363f129e07f9c67680">
  <xsd:schema xmlns:xsd="http://www.w3.org/2001/XMLSchema" xmlns:xs="http://www.w3.org/2001/XMLSchema" xmlns:p="http://schemas.microsoft.com/office/2006/metadata/properties" xmlns:ns2="a6fbb4b4-dfcd-41b6-9bd0-53d8bb3c7401" xmlns:ns3="829bb328-a8fa-4941-9c56-f14d2d39772a" targetNamespace="http://schemas.microsoft.com/office/2006/metadata/properties" ma:root="true" ma:fieldsID="4e6250f8bcaa7cf6b9d03f2b5e2bf817" ns2:_="" ns3:_="">
    <xsd:import namespace="a6fbb4b4-dfcd-41b6-9bd0-53d8bb3c7401"/>
    <xsd:import namespace="829bb328-a8fa-4941-9c56-f14d2d3977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bb4b4-dfcd-41b6-9bd0-53d8bb3c74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1f7bd95-1200-4052-9a4e-dfdf006e181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9bb328-a8fa-4941-9c56-f14d2d39772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025D2D-4087-4AB9-9881-59E407D71553}">
  <ds:schemaRefs>
    <ds:schemaRef ds:uri="http://schemas.microsoft.com/sharepoint/events"/>
  </ds:schemaRefs>
</ds:datastoreItem>
</file>

<file path=customXml/itemProps2.xml><?xml version="1.0" encoding="utf-8"?>
<ds:datastoreItem xmlns:ds="http://schemas.openxmlformats.org/officeDocument/2006/customXml" ds:itemID="{777269DB-FF32-4AD2-BE6D-E7A6FE7D0AE4}">
  <ds:schemaRefs>
    <ds:schemaRef ds:uri="http://schemas.microsoft.com/sharepoint/v3/contenttype/forms/url"/>
  </ds:schemaRefs>
</ds:datastoreItem>
</file>

<file path=customXml/itemProps3.xml><?xml version="1.0" encoding="utf-8"?>
<ds:datastoreItem xmlns:ds="http://schemas.openxmlformats.org/officeDocument/2006/customXml" ds:itemID="{3C5CA636-023D-4104-8E05-5260DBC45A6A}">
  <ds:schemaRefs>
    <ds:schemaRef ds:uri="http://schemas.microsoft.com/sharepoint/v3/contenttype/forms"/>
  </ds:schemaRefs>
</ds:datastoreItem>
</file>

<file path=customXml/itemProps4.xml><?xml version="1.0" encoding="utf-8"?>
<ds:datastoreItem xmlns:ds="http://schemas.openxmlformats.org/officeDocument/2006/customXml" ds:itemID="{697108BC-6793-4DBB-86BF-E587224108C8}">
  <ds:schemaRefs>
    <ds:schemaRef ds:uri="Microsoft.SharePoint.Taxonomy.ContentTypeSync"/>
  </ds:schemaRefs>
</ds:datastoreItem>
</file>

<file path=customXml/itemProps5.xml><?xml version="1.0" encoding="utf-8"?>
<ds:datastoreItem xmlns:ds="http://schemas.openxmlformats.org/officeDocument/2006/customXml" ds:itemID="{5DC3741F-8DD9-4DE1-B276-8E164F7AE324}">
  <ds:schemaRefs>
    <ds:schemaRef ds:uri="http://schemas.openxmlformats.org/officeDocument/2006/bibliography"/>
  </ds:schemaRefs>
</ds:datastoreItem>
</file>

<file path=customXml/itemProps6.xml><?xml version="1.0" encoding="utf-8"?>
<ds:datastoreItem xmlns:ds="http://schemas.openxmlformats.org/officeDocument/2006/customXml" ds:itemID="{8084EE2F-B02A-4C67-97A9-A44EAF592659}">
  <ds:schemaRefs>
    <ds:schemaRef ds:uri="http://schemas.microsoft.com/office/2006/metadata/properties"/>
    <ds:schemaRef ds:uri="http://schemas.microsoft.com/office/2006/documentManagement/types"/>
    <ds:schemaRef ds:uri="http://www.w3.org/XML/1998/namespace"/>
    <ds:schemaRef ds:uri="http://purl.org/dc/dcmitype/"/>
    <ds:schemaRef ds:uri="cdc7663a-08f0-4737-9e8c-148ce897a09c"/>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7.xml><?xml version="1.0" encoding="utf-8"?>
<ds:datastoreItem xmlns:ds="http://schemas.openxmlformats.org/officeDocument/2006/customXml" ds:itemID="{2FFB8ED7-BD1D-4EA2-ABE8-3A59076BF8B3}"/>
</file>

<file path=docProps/app.xml><?xml version="1.0" encoding="utf-8"?>
<Properties xmlns="http://schemas.openxmlformats.org/officeDocument/2006/extended-properties" xmlns:vt="http://schemas.openxmlformats.org/officeDocument/2006/docPropsVTypes">
  <Template>Normal</Template>
  <TotalTime>0</TotalTime>
  <Pages>5</Pages>
  <Words>1910</Words>
  <Characters>10891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Inter-American Development Bank</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keywords/>
  <cp:lastModifiedBy>Luis Victor Gallardo</cp:lastModifiedBy>
  <cp:revision>2</cp:revision>
  <dcterms:created xsi:type="dcterms:W3CDTF">2023-06-18T05:04:00Z</dcterms:created>
  <dcterms:modified xsi:type="dcterms:W3CDTF">2023-06-18T05:04:00Z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0x01010043CF67B18EF71D4C96F5B703CD28D96C</vt:lpwstr>
  </property>
  <property fmtid="{D5CDD505-2E9C-101B-9397-08002B2CF9AE}" pid="3" name="TaxKeyword">
    <vt:lpwstr/>
  </property>
  <property fmtid="{D5CDD505-2E9C-101B-9397-08002B2CF9AE}" pid="4" name="Series Corporate IDB">
    <vt:lpwstr>860;#GOV-07.1 Policies and Procedures - Working Documents|adcd5c59-1403-4739-bab1-9a1dec4ffb30</vt:lpwstr>
  </property>
  <property fmtid="{D5CDD505-2E9C-101B-9397-08002B2CF9AE}" pid="5" name="Function Corporate IDB">
    <vt:lpwstr>335;#4 Governance|d48f69c4-9785-416c-9a0f-b99285e2bde9</vt:lpwstr>
  </property>
  <property fmtid="{D5CDD505-2E9C-101B-9397-08002B2CF9AE}" pid="6" name="TaxKeywordTaxHTField">
    <vt:lpwstr/>
  </property>
  <property fmtid="{D5CDD505-2E9C-101B-9397-08002B2CF9AE}" pid="7" name="Country">
    <vt:lpwstr/>
  </property>
  <property fmtid="{D5CDD505-2E9C-101B-9397-08002B2CF9AE}" pid="8" name="_dlc_DocIdItemGuid">
    <vt:lpwstr>af6e123a-c59a-4dab-a13e-b763e2151da7</vt:lpwstr>
  </property>
  <property fmtid="{D5CDD505-2E9C-101B-9397-08002B2CF9AE}" pid="9" name="SharedWithUsers">
    <vt:lpwstr>2384;#Nunes da Cunha, Natascha;#2480;#Salazar, Lina Piedad;#3481;#Bravo Velasquez, Julianyth De Jesus;#2884;#Vogt-Schilb, Adrien;#2162;#Cafagna, Gianluca;#527;#Perez Calvo, Rafael Mauricio;#1082;#Chong Liu, Cecilia;#4476;#Tovio Delgado, Alixa Argelis;#465</vt:lpwstr>
  </property>
  <property fmtid="{D5CDD505-2E9C-101B-9397-08002B2CF9AE}" pid="10" name="MediaServiceImageTags">
    <vt:lpwstr/>
  </property>
</Properties>
</file>