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MyHealthHub — Assignment 3 Summary</w:t>
      </w:r>
    </w:p>
    <w:p>
      <w:pPr>
        <w:spacing w:after="60"/>
        <w:jc w:val="center"/>
      </w:pPr>
      <w:r>
        <w:rPr>
          <w:i/>
          <w:iCs/>
          <w:color w:val="4A7C4A"/>
          <w:sz w:val="26"/>
          <w:szCs w:val="26"/>
        </w:rPr>
        <w:t xml:space="preserve">Main Additions vs. Previous Versions</w:t>
      </w:r>
    </w:p>
    <w:p>
      <w:pPr>
        <w:spacing w:after="360"/>
        <w:jc w:val="center"/>
      </w:pPr>
      <w:r>
        <w:rPr>
          <w:color w:val="6B7F6B"/>
          <w:sz w:val="20"/>
          <w:szCs w:val="20"/>
        </w:rPr>
        <w:t xml:space="preserve">PDAI Assignment 3  ·  Mara Rüsen  ·  ESADE Business School  ·  2026</w:t>
      </w:r>
    </w:p>
    <w:p>
      <w:pPr>
        <w:pStyle w:val="Heading1"/>
        <w:spacing w:after="180" w:before="240"/>
      </w:pPr>
      <w:r>
        <w:t xml:space="preserve">From DanceFinder to MyHealthHub</w:t>
      </w:r>
    </w:p>
    <w:p>
      <w:pPr>
        <w:spacing w:after="120"/>
      </w:pPr>
      <w:r>
        <w:t xml:space="preserve">DanceFinder (Assignment 2) was a discovery platform for dance classes in Barcelona built with Streamlit, Anthropic Claude, Cohere rerank, and SQLite for community ratings. MyHealthHub keeps the tech stack but pivots the perspective: instead of helping users discover external services, it aggregates a user’s own personal health data into a unified dashboard. This is a deliberate perspective change as described in the assignment brief — reusing proven patterns (Streamlit multipage, Claude sidebar chatbot, SQLite persistence, structured JSON) and applying them to a completely new problem. The result is an application whose underlying architecture is familiar, but whose purpose, design, and user experience are fundamentally different.</w:t>
      </w:r>
    </w:p>
    <w:p>
      <w:pPr>
        <w:pStyle w:val="Heading2"/>
        <w:spacing w:after="120" w:before="200"/>
      </w:pPr>
      <w:r>
        <w:t xml:space="preserve">What was reused from DanceFinder</w:t>
      </w:r>
    </w:p>
    <w:p>
      <w:pPr>
        <w:pStyle w:val="ListParagraph"/>
        <w:numPr>
          <w:ilvl w:val="0"/>
          <w:numId w:val="2"/>
        </w:numPr>
        <w:spacing w:after="80"/>
      </w:pPr>
      <w:r>
        <w:t xml:space="preserve">Streamlit multipage architecture with a persistent sidebar chatbot on every page.</w:t>
      </w:r>
    </w:p>
    <w:p>
      <w:pPr>
        <w:pStyle w:val="ListParagraph"/>
        <w:numPr>
          <w:ilvl w:val="0"/>
          <w:numId w:val="2"/>
        </w:numPr>
        <w:spacing w:after="80"/>
      </w:pPr>
      <w:r>
        <w:t xml:space="preserve">Anthropic Claude for all conversational AI (sonnet-class model).</w:t>
      </w:r>
    </w:p>
    <w:p>
      <w:pPr>
        <w:pStyle w:val="ListParagraph"/>
        <w:numPr>
          <w:ilvl w:val="0"/>
          <w:numId w:val="2"/>
        </w:numPr>
        <w:spacing w:after="80"/>
      </w:pPr>
      <w:r>
        <w:t xml:space="preserve">SQLite for persistent user state — in DanceFinder this stored community ratings; in MyHealthHub it stores reminders, claim submissions, and chat history.</w:t>
      </w:r>
    </w:p>
    <w:p>
      <w:pPr>
        <w:pStyle w:val="ListParagraph"/>
        <w:numPr>
          <w:ilvl w:val="0"/>
          <w:numId w:val="2"/>
        </w:numPr>
        <w:spacing w:after="80"/>
      </w:pPr>
      <w:r>
        <w:t xml:space="preserve">Structured JSON for mock and seed data, keeping the data layer trivially inspectable.</w:t>
      </w:r>
    </w:p>
    <w:p>
      <w:pPr>
        <w:pStyle w:val="ListParagraph"/>
        <w:numPr>
          <w:ilvl w:val="0"/>
          <w:numId w:val="2"/>
        </w:numPr>
        <w:spacing w:after="80"/>
      </w:pPr>
      <w:r>
        <w:t xml:space="preserve">Custom theming via .streamlit/config.toml and injected CSS rules.</w:t>
      </w:r>
    </w:p>
    <w:p>
      <w:pPr>
        <w:pStyle w:val="Heading2"/>
        <w:spacing w:after="120" w:before="200"/>
      </w:pPr>
      <w:r>
        <w:t xml:space="preserve">What changed in perspective</w:t>
      </w:r>
    </w:p>
    <w:p>
      <w:pPr>
        <w:pStyle w:val="ListParagraph"/>
        <w:numPr>
          <w:ilvl w:val="0"/>
          <w:numId w:val="2"/>
        </w:numPr>
        <w:spacing w:after="80"/>
      </w:pPr>
      <w:r>
        <w:t xml:space="preserve">Domain: external discovery (dance classes in Barcelona) → personal data aggregation (one user’s own health records).</w:t>
      </w:r>
    </w:p>
    <w:p>
      <w:pPr>
        <w:pStyle w:val="ListParagraph"/>
        <w:numPr>
          <w:ilvl w:val="0"/>
          <w:numId w:val="2"/>
        </w:numPr>
        <w:spacing w:after="80"/>
      </w:pPr>
      <w:r>
        <w:t xml:space="preserve">User mental model: “find something new” → “make sense of what I already have.”</w:t>
      </w:r>
    </w:p>
    <w:p>
      <w:pPr>
        <w:pStyle w:val="ListParagraph"/>
        <w:numPr>
          <w:ilvl w:val="0"/>
          <w:numId w:val="2"/>
        </w:numPr>
        <w:spacing w:after="80"/>
      </w:pPr>
      <w:r>
        <w:t xml:space="preserve">Design language: dark and energetic → warm cream and mint (calm, healthcare-appropriate).</w:t>
      </w:r>
    </w:p>
    <w:p>
      <w:pPr>
        <w:pStyle w:val="ListParagraph"/>
        <w:numPr>
          <w:ilvl w:val="0"/>
          <w:numId w:val="2"/>
        </w:numPr>
        <w:spacing w:after="80"/>
      </w:pPr>
      <w:r>
        <w:t xml:space="preserve">Data ownership: public directory → private personal records — which motivated the new Face ID authentication gate.</w:t>
      </w:r>
    </w:p>
    <w:p>
      <w:r>
        <w:br w:type="page"/>
      </w:r>
    </w:p>
    <w:p>
      <w:pPr>
        <w:pStyle w:val="Heading1"/>
        <w:spacing w:after="180" w:before="240"/>
      </w:pPr>
      <w:r>
        <w:t xml:space="preserve">Major additions introduced in MyHealthHub</w:t>
      </w:r>
    </w:p>
    <w:p>
      <w:pPr>
        <w:pStyle w:val="Heading2"/>
        <w:spacing w:after="120" w:before="200"/>
      </w:pPr>
      <w:r>
        <w:t xml:space="preserve">1. Context-aware AI assistant</w:t>
      </w:r>
    </w:p>
    <w:p>
      <w:pPr>
        <w:spacing w:after="120"/>
      </w:pPr>
      <w:r>
        <w:t xml:space="preserve">HealthBuddy upgrades DanceFinder’s search-oriented chatbot into a context-aware assistant: the complete user record (appointments, medical history, claims, insurance tariff, allergies) is injected into Claude’s system prompt on every message. This enables natural-language questions like “When is my next appointment?” or “What did my last blood test show?” to be answered directly from user data without a retrieval step. A keyword-based demo fallback is included so the app remains functional when no API key is configured.</w:t>
      </w:r>
    </w:p>
    <w:p>
      <w:pPr>
        <w:pStyle w:val="Heading2"/>
        <w:spacing w:after="120" w:before="200"/>
      </w:pPr>
      <w:r>
        <w:t xml:space="preserve">2. Privacy-first UX: simulated Face ID gate</w:t>
      </w:r>
    </w:p>
    <w:p>
      <w:pPr>
        <w:spacing w:after="120"/>
      </w:pPr>
      <w:r>
        <w:t xml:space="preserve">A biometric-style authentication simulation (progress bar plus success animation) protects the Finances section. Authentication state lives in Streamlit session state and can be cleared via a manual Lock button. The interaction mirrors real healthcare app patterns (iOS Health, the Debeka mobile app) without requiring real biometric hardware, and demonstrates how privacy can become a visible design feature rather than a hidden concern.</w:t>
      </w:r>
    </w:p>
    <w:p>
      <w:pPr>
        <w:pStyle w:val="Heading2"/>
        <w:spacing w:after="120" w:before="200"/>
      </w:pPr>
      <w:r>
        <w:t xml:space="preserve">3. Interactive analytics tab (four Plotly charts)</w:t>
      </w:r>
    </w:p>
    <w:p>
      <w:pPr>
        <w:pStyle w:val="ListParagraph"/>
        <w:numPr>
          <w:ilvl w:val="0"/>
          <w:numId w:val="2"/>
        </w:numPr>
        <w:spacing w:after="80"/>
      </w:pPr>
      <w:r>
        <w:t xml:space="preserve">Cumulative spending over time — billed vs. covered vs. out-of-pocket, stacked area and line.</w:t>
      </w:r>
    </w:p>
    <w:p>
      <w:pPr>
        <w:pStyle w:val="ListParagraph"/>
        <w:numPr>
          <w:ilvl w:val="0"/>
          <w:numId w:val="2"/>
        </w:numPr>
        <w:spacing w:after="80"/>
      </w:pPr>
      <w:r>
        <w:t xml:space="preserve">Visits by specialty — donut chart with total count in the centre.</w:t>
      </w:r>
    </w:p>
    <w:p>
      <w:pPr>
        <w:pStyle w:val="ListParagraph"/>
        <w:numPr>
          <w:ilvl w:val="0"/>
          <w:numId w:val="2"/>
        </w:numPr>
        <w:spacing w:after="80"/>
      </w:pPr>
      <w:r>
        <w:t xml:space="preserve">Preventive-care score — gauge showing the percentage of recommended annual screenings that are up to date.</w:t>
      </w:r>
    </w:p>
    <w:p>
      <w:pPr>
        <w:pStyle w:val="ListParagraph"/>
        <w:numPr>
          <w:ilvl w:val="0"/>
          <w:numId w:val="2"/>
        </w:numPr>
        <w:spacing w:after="80"/>
      </w:pPr>
      <w:r>
        <w:t xml:space="preserve">Reimbursement rate per service — horizontal bar chart with a colour scale.</w:t>
      </w:r>
    </w:p>
    <w:p>
      <w:pPr>
        <w:pStyle w:val="Heading2"/>
        <w:spacing w:after="120" w:before="200"/>
      </w:pPr>
      <w:r>
        <w:t xml:space="preserve">4. Dual-view Records page</w:t>
      </w:r>
    </w:p>
    <w:p>
      <w:pPr>
        <w:spacing w:after="120"/>
      </w:pPr>
      <w:r>
        <w:t xml:space="preserve">Records can be browsed two ways: by specialty (tabbed, condensed) or as a chronological timeline with a visual vertical rail and per-year markers. This gives users both cross-sectional and longitudinal perspectives on the same data — useful when preparing for different kinds of conversations with different doctors.</w:t>
      </w:r>
    </w:p>
    <w:p>
      <w:pPr>
        <w:pStyle w:val="Heading2"/>
        <w:spacing w:after="120" w:before="200"/>
      </w:pPr>
      <w:r>
        <w:t xml:space="preserve">5. Persistent state via SQLite</w:t>
      </w:r>
    </w:p>
    <w:p>
      <w:pPr>
        <w:spacing w:after="120"/>
      </w:pPr>
      <w:r>
        <w:t xml:space="preserve">Email reminders, claim submissions, and the chatbot history all survive app restarts through a local SQLite database (myhealthhub.db). This evolves DanceFinder’s single-table rating store into a multi-table user-action store, and moves the chatbot from session-only memory to a persistent thread — a meaningful upgrade in perceived continuity.</w:t>
      </w:r>
    </w:p>
    <w:p>
      <w:pPr>
        <w:pStyle w:val="Heading2"/>
        <w:spacing w:after="120" w:before="200"/>
      </w:pPr>
      <w:r>
        <w:t xml:space="preserve">Conclusion</w:t>
      </w:r>
    </w:p>
    <w:p>
      <w:pPr>
        <w:spacing w:after="120"/>
      </w:pPr>
      <w:r>
        <w:t xml:space="preserve">MyHealthHub demonstrates that proven tech stacks can be successfully pivoted across domains when the underlying interaction patterns (multipage UI, LLM with context, persistent user actions) are clearly separated from domain logic. Roughly seventy percent of DanceFinder’s architectural patterns were reused, yet the resulting application looks, feels, and behaves like a completely different product. The exercise reinforced a practical lesson from the course: prototyping is about making informed choices on what to keep and what to change — not about starting over every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2F4F2F"/>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3A5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MyHealthHub — Assignment 3 Summary</dc:title>
  <dc:creator>Mara Rüsen</dc:creator>
  <cp:lastModifiedBy>Un-named</cp:lastModifiedBy>
  <cp:revision>1</cp:revision>
  <dcterms:created xsi:type="dcterms:W3CDTF">2026-04-22T15:51:04.029Z</dcterms:created>
  <dcterms:modified xsi:type="dcterms:W3CDTF">2026-04-22T15:51:04.031Z</dcterms:modified>
</cp:coreProperties>
</file>

<file path=docProps/custom.xml><?xml version="1.0" encoding="utf-8"?>
<Properties xmlns="http://schemas.openxmlformats.org/officeDocument/2006/custom-properties" xmlns:vt="http://schemas.openxmlformats.org/officeDocument/2006/docPropsVTypes"/>
</file>