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Realiza las siguientes consultas utilizando las combinaciones especiales (UNION, INTERSECT, EXCEPT).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Bases de datos de Instituto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DNI de alumnos que han suspendido alguna asignatura y que pertenecen al grupo ‘1B’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DNI de aquellos profesores que imparten asignaturas de primero y de segundo.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DNI de aquellos profesores que solo imparten clases a grupos B (pero no a grupos A).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Bases de datos de Comercio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Nombre y dirección de aquellos clientes y vendedores que residen en el municipio con código ‘CSTLL’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Código de aquellos municipios en los que reside algún cliente pero ningún vendedor.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 Mostrar el código de aquellos artículos cuyo stock es superior a 20 y precio superior a 30.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Bases de datos de Citas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Muestra el nombre de usuario de aquellos usuarios que son hombres que practican como máximo 2 aficiones.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rmal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Muestra los nombres de usuario de aquellos usuarios que practican más de una afición a diario junto con aquellos nombres de usuario de  aquellos usuarios que han participado en más de una cita.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jc w:val="left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/>
          <w:insideV w:val="none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9360"/>
      </w:tblGrid>
      <w:tr>
        <w:tc>
          <w:tcPr>
            <w:tcW w:w="9360" w:type="dxa"/>
            <w:shd w:val="clear" w:fill="auto"/>
            <w:vAlign w:val="top"/>
          </w:tcPr>
          <w:p>
            <w:pPr>
              <w:pStyle w:val="normal"/>
              <w:widowControl w:val="o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uto"/>
              <w:rPr>
                <w:rFonts w:ascii="Courier New" w:hAnsi="Courier New" w:eastAsia="Courier New"/>
              </w:rPr>
            </w:pP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</w:p>
    <w:sectPr>
      <w:headerReference w:type="default" r:id="rId00005"/>
      <w:pgSz w:w="12240" w:h="15840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auto"/>
    <w:pitch w:val="default"/>
  </w:font>
</w:fonts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heading 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sz w:val="18"/>
      </w:rPr>
    </w:pPr>
    <w:bookmarkStart w:id="0" w:name="_w497hsrv4uoj"/>
    <w:bookmarkEnd w:id="0"/>
    <w:r>
      <w:rPr>
        <w:sz w:val="36"/>
      </w:rPr>
      <w:t xml:space="preserve">Bases de Datos</w:t>
    </w:r>
    <w:r>
      <w:br w:type="textWrapping"/>
    </w:r>
    <w:r>
      <w:rPr>
        <w:sz w:val="18"/>
      </w:rPr>
      <w:t xml:space="preserve">EJERCICIOS UNIDAD 6: DQL | Parte 4: Combinaciones especiales</w:t>
    </w:r>
  </w:p>
  <w:p>
    <w:pPr>
      <w:pStyle w:val="normal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>
      <w:t xml:space="preserve">Nombre y apellidos: __________________________________________</w:t>
    </w:r>
  </w:p>
  <w:p>
    <w:pPr>
      <w:pStyle w:val="normal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suff w:val="tab"/>
      <w:lvlText w:val="%1."/>
      <w:pPr>
        <w:ind w:left="720" w:hanging="360"/>
        <w:tabs>
          <w:tab w:val="num" w:pos="720"/>
        </w:tabs>
      </w:pPr>
      <w:rPr>
        <w:rFonts w:hint="default" w:ascii="Arial" w:hAnsi="Arial" w:eastAsia="Arial"/>
        <w:b w:val="off"/>
        <w:i w:val="off"/>
        <w:strike w:val="off"/>
        <w:color w:val="auto"/>
        <w:position w:val="0"/>
        <w:sz w:val="22"/>
        <w:u w:val="none"/>
        <w:shd w:val="clear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76" w:lineRule="auto"/>
    </w:pPr>
    <w:rPr>
      <w:sz w:val="22"/>
    </w:rPr>
  </w:style>
  <w:style w:type="paragraph" w:styleId="heading 1">
    <w:name w:val="heading 1"/>
    <w:basedOn w:val="normal"/>
    <w:next w:val="normal"/>
    <w:qFormat/>
    <w:pPr>
      <w:keepNext/>
      <w:keepLines/>
      <w:spacing w:before="400" w:after="120"/>
    </w:pPr>
    <w:rPr>
      <w:sz w:val="40"/>
    </w:rPr>
  </w:style>
  <w:style w:type="paragraph" w:styleId="heading 2">
    <w:name w:val="heading 2"/>
    <w:basedOn w:val="normal"/>
    <w:next w:val="normal"/>
    <w:qFormat/>
    <w:pPr>
      <w:keepNext/>
      <w:keepLines/>
      <w:spacing w:before="360" w:after="120"/>
    </w:pPr>
    <w:rPr>
      <w:sz w:val="32"/>
    </w:rPr>
  </w:style>
  <w:style w:type="paragraph" w:styleId="heading 3">
    <w:name w:val="heading 3"/>
    <w:basedOn w:val="normal"/>
    <w:next w:val="normal"/>
    <w:qFormat/>
    <w:pPr>
      <w:keepNext/>
      <w:keepLines/>
      <w:spacing w:before="320" w:after="80"/>
    </w:pPr>
    <w:rPr>
      <w:color w:val="434343"/>
      <w:sz w:val="28"/>
    </w:rPr>
  </w:style>
  <w:style w:type="paragraph" w:styleId="heading 4">
    <w:name w:val="heading 4"/>
    <w:basedOn w:val="normal"/>
    <w:next w:val="normal"/>
    <w:qFormat/>
    <w:pPr>
      <w:keepNext/>
      <w:keepLines/>
      <w:spacing w:before="280" w:after="80"/>
    </w:pPr>
    <w:rPr>
      <w:color w:val="666666"/>
      <w:sz w:val="24"/>
    </w:rPr>
  </w:style>
  <w:style w:type="paragraph" w:styleId="heading 5">
    <w:name w:val="heading 5"/>
    <w:basedOn w:val="normal"/>
    <w:next w:val="normal"/>
    <w:qFormat/>
    <w:pPr>
      <w:keepNext/>
      <w:keepLines/>
      <w:spacing w:before="240" w:after="80"/>
    </w:pPr>
    <w:rPr>
      <w:color w:val="666666"/>
    </w:rPr>
  </w:style>
  <w:style w:type="paragraph" w:styleId="heading 6">
    <w:name w:val="heading 6"/>
    <w:basedOn w:val="normal"/>
    <w:next w:val="normal"/>
    <w:qFormat/>
    <w:pPr>
      <w:keepNext/>
      <w:keepLines/>
      <w:spacing w:before="240" w:after="80"/>
    </w:pPr>
    <w:rPr>
      <w:i w:val="on"/>
      <w:color w:val="666666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numbering" Target="numbering.xml"/>
	<Relationship Id="rId00007" Type="http://schemas.openxmlformats.org/officeDocument/2006/relationships/fontTable" Target="fontTable.xml"/>
	<Relationship Id="rId00008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19.0.142.500</Application>
  <HyperlinkBase>C:\Users\Marcos\Downloads\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