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DD06" w14:textId="77777777" w:rsidR="00C56BC0" w:rsidRDefault="00C56BC0" w:rsidP="00C56BC0">
      <w:pPr>
        <w:spacing w:after="0" w:line="360" w:lineRule="auto"/>
        <w:jc w:val="center"/>
        <w:rPr>
          <w:rFonts w:asciiTheme="majorBidi" w:hAnsiTheme="majorBidi" w:cstheme="majorBidi"/>
          <w:sz w:val="24"/>
          <w:szCs w:val="24"/>
        </w:rPr>
      </w:pPr>
      <w:r>
        <w:rPr>
          <w:rFonts w:asciiTheme="majorBidi" w:hAnsiTheme="majorBidi" w:cstheme="majorBidi"/>
          <w:sz w:val="24"/>
          <w:szCs w:val="24"/>
        </w:rPr>
        <w:t>République Algérienne Démocratique et Populaire</w:t>
      </w:r>
    </w:p>
    <w:p w14:paraId="6097DC49" w14:textId="77777777" w:rsidR="00C56BC0" w:rsidRDefault="00C56BC0" w:rsidP="00C56BC0">
      <w:pPr>
        <w:spacing w:after="0" w:line="360" w:lineRule="auto"/>
        <w:jc w:val="center"/>
        <w:rPr>
          <w:rFonts w:asciiTheme="majorBidi" w:hAnsiTheme="majorBidi" w:cstheme="majorBidi"/>
          <w:sz w:val="24"/>
          <w:szCs w:val="24"/>
        </w:rPr>
      </w:pPr>
      <w:r>
        <w:rPr>
          <w:rFonts w:asciiTheme="majorBidi" w:hAnsiTheme="majorBidi" w:cstheme="majorBidi"/>
          <w:sz w:val="24"/>
          <w:szCs w:val="24"/>
        </w:rPr>
        <w:t>Université Constantine 1 Frères </w:t>
      </w:r>
      <w:proofErr w:type="spellStart"/>
      <w:r>
        <w:rPr>
          <w:rFonts w:asciiTheme="majorBidi" w:hAnsiTheme="majorBidi" w:cstheme="majorBidi"/>
          <w:sz w:val="24"/>
          <w:szCs w:val="24"/>
        </w:rPr>
        <w:t>Mentouri</w:t>
      </w:r>
      <w:proofErr w:type="spellEnd"/>
    </w:p>
    <w:p w14:paraId="3CEAC3B2" w14:textId="77777777" w:rsidR="00C56BC0" w:rsidRDefault="00C56BC0" w:rsidP="00C56BC0">
      <w:pPr>
        <w:spacing w:after="0" w:line="360" w:lineRule="auto"/>
        <w:jc w:val="center"/>
        <w:rPr>
          <w:rFonts w:asciiTheme="majorBidi" w:hAnsiTheme="majorBidi" w:cstheme="majorBidi"/>
          <w:sz w:val="24"/>
          <w:szCs w:val="24"/>
        </w:rPr>
      </w:pPr>
      <w:r>
        <w:rPr>
          <w:rFonts w:asciiTheme="majorBidi" w:hAnsiTheme="majorBidi" w:cstheme="majorBidi"/>
          <w:sz w:val="24"/>
          <w:szCs w:val="24"/>
        </w:rPr>
        <w:t>Faculté des Sciences de la Nature et de la Vie</w:t>
      </w:r>
    </w:p>
    <w:p w14:paraId="15626214" w14:textId="77777777" w:rsidR="00C56BC0" w:rsidRDefault="00C56BC0" w:rsidP="00C56BC0">
      <w:pPr>
        <w:spacing w:after="0" w:line="360" w:lineRule="auto"/>
        <w:jc w:val="center"/>
        <w:rPr>
          <w:rFonts w:asciiTheme="majorBidi" w:hAnsiTheme="majorBidi" w:cstheme="majorBidi"/>
          <w:sz w:val="24"/>
          <w:szCs w:val="24"/>
        </w:rPr>
      </w:pPr>
      <w:r>
        <w:rPr>
          <w:rFonts w:asciiTheme="majorBidi" w:hAnsiTheme="majorBidi" w:cstheme="majorBidi"/>
          <w:sz w:val="24"/>
          <w:szCs w:val="24"/>
        </w:rPr>
        <w:t>Département de Microbiologie</w:t>
      </w:r>
    </w:p>
    <w:p w14:paraId="46DB42C8" w14:textId="77777777" w:rsidR="001B7D87" w:rsidRDefault="00C56BC0" w:rsidP="001B7D87">
      <w:pPr>
        <w:spacing w:before="960" w:after="0" w:line="360" w:lineRule="auto"/>
        <w:rPr>
          <w:rFonts w:asciiTheme="majorBidi" w:hAnsiTheme="majorBidi" w:cstheme="majorBidi"/>
          <w:sz w:val="24"/>
          <w:szCs w:val="24"/>
        </w:rPr>
      </w:pPr>
      <w:r w:rsidRPr="00B960E3">
        <w:rPr>
          <w:rFonts w:asciiTheme="majorBidi" w:hAnsiTheme="majorBidi" w:cstheme="majorBidi"/>
          <w:sz w:val="24"/>
          <w:szCs w:val="24"/>
        </w:rPr>
        <w:t>Matière</w:t>
      </w:r>
      <w:r>
        <w:rPr>
          <w:rFonts w:asciiTheme="majorBidi" w:hAnsiTheme="majorBidi" w:cstheme="majorBidi"/>
          <w:sz w:val="24"/>
          <w:szCs w:val="24"/>
        </w:rPr>
        <w:t> :</w:t>
      </w:r>
      <w:r w:rsidRPr="00F53A40">
        <w:rPr>
          <w:rFonts w:asciiTheme="majorBidi" w:hAnsiTheme="majorBidi" w:cstheme="majorBidi"/>
          <w:sz w:val="24"/>
          <w:szCs w:val="24"/>
        </w:rPr>
        <w:t xml:space="preserve"> </w:t>
      </w:r>
      <w:r>
        <w:rPr>
          <w:rFonts w:asciiTheme="majorBidi" w:hAnsiTheme="majorBidi" w:cstheme="majorBidi"/>
          <w:sz w:val="24"/>
          <w:szCs w:val="24"/>
        </w:rPr>
        <w:t>Génomique des microorganismes</w:t>
      </w:r>
    </w:p>
    <w:p w14:paraId="16F41C34" w14:textId="2DEAC5F1" w:rsidR="001B7D87" w:rsidRDefault="001B7D87" w:rsidP="001B7D87">
      <w:pPr>
        <w:spacing w:before="240" w:after="0" w:line="360" w:lineRule="auto"/>
        <w:jc w:val="center"/>
        <w:rPr>
          <w:rFonts w:asciiTheme="majorBidi" w:hAnsiTheme="majorBidi"/>
          <w:b/>
          <w:bCs/>
          <w:sz w:val="32"/>
          <w:szCs w:val="32"/>
        </w:rPr>
      </w:pPr>
      <w:r>
        <w:rPr>
          <w:rFonts w:asciiTheme="majorBidi" w:hAnsiTheme="majorBidi"/>
          <w:b/>
          <w:bCs/>
          <w:sz w:val="32"/>
          <w:szCs w:val="32"/>
        </w:rPr>
        <w:t>Exposé sur :</w:t>
      </w:r>
    </w:p>
    <w:p w14:paraId="7B07FF12" w14:textId="22E9AC0D" w:rsidR="001B7D87" w:rsidRPr="001B7D87" w:rsidRDefault="001B7D87" w:rsidP="00C02CFA">
      <w:pPr>
        <w:spacing w:after="960" w:line="360" w:lineRule="auto"/>
        <w:jc w:val="center"/>
        <w:rPr>
          <w:rFonts w:asciiTheme="majorBidi" w:hAnsiTheme="majorBidi"/>
          <w:b/>
          <w:bCs/>
          <w:sz w:val="32"/>
          <w:szCs w:val="32"/>
        </w:rPr>
      </w:pPr>
      <w:r>
        <w:rPr>
          <w:rFonts w:asciiTheme="majorBidi" w:hAnsiTheme="majorBidi"/>
          <w:b/>
          <w:bCs/>
          <w:sz w:val="32"/>
          <w:szCs w:val="32"/>
        </w:rPr>
        <w:t>Transfert horizontal</w:t>
      </w:r>
      <w:r w:rsidR="00C02CFA">
        <w:rPr>
          <w:rFonts w:asciiTheme="majorBidi" w:hAnsiTheme="majorBidi"/>
          <w:b/>
          <w:bCs/>
          <w:sz w:val="32"/>
          <w:szCs w:val="32"/>
        </w:rPr>
        <w:t xml:space="preserve"> de gènes</w:t>
      </w:r>
      <w:r>
        <w:rPr>
          <w:rFonts w:asciiTheme="majorBidi" w:hAnsiTheme="majorBidi"/>
          <w:b/>
          <w:bCs/>
          <w:sz w:val="32"/>
          <w:szCs w:val="32"/>
        </w:rPr>
        <w:t xml:space="preserve"> par conjugaison</w:t>
      </w:r>
    </w:p>
    <w:p w14:paraId="00A7F3A4" w14:textId="77777777" w:rsidR="00C56BC0" w:rsidRDefault="00C56BC0" w:rsidP="00C56BC0">
      <w:pPr>
        <w:spacing w:before="1200" w:after="0" w:line="360" w:lineRule="auto"/>
        <w:rPr>
          <w:rFonts w:asciiTheme="majorBidi" w:hAnsiTheme="majorBidi" w:cstheme="majorBidi"/>
          <w:sz w:val="24"/>
          <w:szCs w:val="24"/>
        </w:rPr>
      </w:pPr>
      <w:r w:rsidRPr="008B34E7">
        <w:rPr>
          <w:rFonts w:asciiTheme="majorBidi" w:hAnsiTheme="majorBidi" w:cstheme="majorBidi"/>
          <w:sz w:val="24"/>
          <w:szCs w:val="24"/>
        </w:rPr>
        <w:t xml:space="preserve">Présenté </w:t>
      </w:r>
      <w:r>
        <w:rPr>
          <w:rFonts w:asciiTheme="majorBidi" w:hAnsiTheme="majorBidi" w:cstheme="majorBidi"/>
          <w:sz w:val="24"/>
          <w:szCs w:val="24"/>
        </w:rPr>
        <w:t xml:space="preserve">par : TALBI </w:t>
      </w:r>
      <w:proofErr w:type="spellStart"/>
      <w:r>
        <w:rPr>
          <w:rFonts w:asciiTheme="majorBidi" w:hAnsiTheme="majorBidi" w:cstheme="majorBidi"/>
          <w:sz w:val="24"/>
          <w:szCs w:val="24"/>
        </w:rPr>
        <w:t>Maram</w:t>
      </w:r>
      <w:proofErr w:type="spellEnd"/>
      <w:r>
        <w:rPr>
          <w:rFonts w:asciiTheme="majorBidi" w:hAnsiTheme="majorBidi" w:cstheme="majorBidi"/>
          <w:sz w:val="24"/>
          <w:szCs w:val="24"/>
        </w:rPr>
        <w:t xml:space="preserve"> Nour El </w:t>
      </w:r>
      <w:proofErr w:type="spellStart"/>
      <w:r>
        <w:rPr>
          <w:rFonts w:asciiTheme="majorBidi" w:hAnsiTheme="majorBidi" w:cstheme="majorBidi"/>
          <w:sz w:val="24"/>
          <w:szCs w:val="24"/>
        </w:rPr>
        <w:t>Yakine</w:t>
      </w:r>
      <w:proofErr w:type="spellEnd"/>
    </w:p>
    <w:p w14:paraId="51B00681" w14:textId="50C86B38" w:rsidR="00C56BC0" w:rsidRDefault="00C56BC0" w:rsidP="00C56BC0">
      <w:pPr>
        <w:spacing w:after="0"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Redjah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Nihel</w:t>
      </w:r>
      <w:proofErr w:type="spellEnd"/>
    </w:p>
    <w:p w14:paraId="68F66F22" w14:textId="77777777" w:rsidR="00C56BC0" w:rsidRDefault="00C56BC0" w:rsidP="00C56BC0">
      <w:pPr>
        <w:spacing w:after="0" w:line="360" w:lineRule="auto"/>
        <w:rPr>
          <w:rFonts w:asciiTheme="majorBidi" w:hAnsiTheme="majorBidi" w:cstheme="majorBidi"/>
          <w:sz w:val="24"/>
          <w:szCs w:val="24"/>
        </w:rPr>
      </w:pPr>
    </w:p>
    <w:p w14:paraId="5112573F" w14:textId="77777777" w:rsidR="00C56BC0" w:rsidRDefault="00C56BC0" w:rsidP="00C56BC0">
      <w:pPr>
        <w:spacing w:before="1200" w:after="0" w:line="360" w:lineRule="auto"/>
        <w:rPr>
          <w:rFonts w:asciiTheme="majorBidi" w:hAnsiTheme="majorBidi" w:cstheme="majorBidi"/>
          <w:sz w:val="24"/>
          <w:szCs w:val="24"/>
        </w:rPr>
      </w:pPr>
    </w:p>
    <w:p w14:paraId="47A9FB4E" w14:textId="77777777" w:rsidR="00C56BC0" w:rsidRDefault="00C56BC0" w:rsidP="00C56BC0">
      <w:pPr>
        <w:spacing w:before="1200" w:after="0" w:line="360" w:lineRule="auto"/>
        <w:rPr>
          <w:rFonts w:asciiTheme="majorBidi" w:hAnsiTheme="majorBidi" w:cstheme="majorBidi"/>
          <w:sz w:val="24"/>
          <w:szCs w:val="24"/>
        </w:rPr>
      </w:pPr>
    </w:p>
    <w:p w14:paraId="5F1ABCFF" w14:textId="4B1F3927" w:rsidR="00C56BC0" w:rsidRDefault="00C56BC0" w:rsidP="00C56BC0">
      <w:pPr>
        <w:spacing w:before="1200" w:after="0" w:line="360" w:lineRule="auto"/>
        <w:jc w:val="center"/>
        <w:rPr>
          <w:rFonts w:asciiTheme="majorBidi" w:hAnsiTheme="majorBidi" w:cstheme="majorBidi"/>
          <w:sz w:val="24"/>
          <w:szCs w:val="24"/>
        </w:rPr>
        <w:sectPr w:rsidR="00C56BC0" w:rsidSect="00C56BC0">
          <w:footerReference w:type="default" r:id="rId7"/>
          <w:pgSz w:w="11906" w:h="16838"/>
          <w:pgMar w:top="1440" w:right="1440" w:bottom="1440" w:left="1440" w:header="708" w:footer="708" w:gutter="0"/>
          <w:cols w:space="708"/>
          <w:docGrid w:linePitch="360"/>
        </w:sectPr>
      </w:pPr>
      <w:r>
        <w:rPr>
          <w:rFonts w:asciiTheme="majorBidi" w:hAnsiTheme="majorBidi" w:cstheme="majorBidi"/>
          <w:sz w:val="24"/>
          <w:szCs w:val="24"/>
        </w:rPr>
        <w:t>Année Universitaire : 2025/202</w:t>
      </w:r>
    </w:p>
    <w:p w14:paraId="78F39F87" w14:textId="4CD965B2" w:rsidR="009C1CAF" w:rsidRPr="00C56BC0" w:rsidRDefault="009C1CAF" w:rsidP="00C56BC0">
      <w:r w:rsidRPr="00717C39">
        <w:rPr>
          <w:rFonts w:asciiTheme="majorBidi" w:eastAsia="Times New Roman" w:hAnsiTheme="majorBidi" w:cstheme="majorBidi"/>
          <w:b/>
          <w:bCs/>
          <w:color w:val="222222"/>
          <w:sz w:val="26"/>
          <w:szCs w:val="26"/>
          <w:shd w:val="clear" w:color="auto" w:fill="FFFFFF"/>
          <w:lang w:eastAsia="en-GB"/>
        </w:rPr>
        <w:lastRenderedPageBreak/>
        <w:t>Les transferts génétiques horizontaux</w:t>
      </w:r>
    </w:p>
    <w:p w14:paraId="10A7A35B" w14:textId="71D0F929" w:rsidR="00222233" w:rsidRPr="00222233" w:rsidRDefault="00222233" w:rsidP="000C0EAF">
      <w:pPr>
        <w:spacing w:after="0" w:line="360" w:lineRule="auto"/>
        <w:jc w:val="both"/>
        <w:rPr>
          <w:rFonts w:asciiTheme="majorBidi" w:eastAsia="Times New Roman" w:hAnsiTheme="majorBidi" w:cstheme="majorBidi"/>
          <w:sz w:val="24"/>
          <w:szCs w:val="24"/>
          <w:lang w:eastAsia="en-GB"/>
        </w:rPr>
      </w:pPr>
      <w:r w:rsidRPr="00222233">
        <w:rPr>
          <w:rFonts w:asciiTheme="majorBidi" w:eastAsia="Times New Roman" w:hAnsiTheme="majorBidi" w:cstheme="majorBidi"/>
          <w:color w:val="222222"/>
          <w:sz w:val="24"/>
          <w:szCs w:val="24"/>
          <w:shd w:val="clear" w:color="auto" w:fill="FFFFFF"/>
          <w:lang w:eastAsia="en-GB"/>
        </w:rPr>
        <w:t>Le transfert de gènes est un processus par lequel des gènes sont déplacés d'un organisme à un autre, naturel ou artificiel, facilitant la variation génétique.</w:t>
      </w:r>
    </w:p>
    <w:p w14:paraId="5AE52FA3" w14:textId="72814CA7" w:rsidR="00222233" w:rsidRPr="00222233" w:rsidRDefault="00222233" w:rsidP="000C0EAF">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22233">
        <w:rPr>
          <w:rFonts w:asciiTheme="majorBidi" w:eastAsia="Times New Roman" w:hAnsiTheme="majorBidi" w:cstheme="majorBidi"/>
          <w:color w:val="222222"/>
          <w:sz w:val="24"/>
          <w:szCs w:val="24"/>
          <w:lang w:eastAsia="en-GB"/>
        </w:rPr>
        <w:t>Les transferts d’informations génétiques au sein du monde vivant sont de deux types : les transferts verticaux (TV) et les transferts horizontaux (TH). Les TV sont essentiellement, d’une part, la sexualité chez les organismes dits « supérieurs » (dont les animaux et les plantes)</w:t>
      </w:r>
      <w:r w:rsidR="00027E49">
        <w:rPr>
          <w:rFonts w:asciiTheme="majorBidi" w:eastAsia="Times New Roman" w:hAnsiTheme="majorBidi" w:cstheme="majorBidi"/>
          <w:color w:val="222222"/>
          <w:sz w:val="24"/>
          <w:szCs w:val="24"/>
          <w:lang w:eastAsia="en-GB"/>
        </w:rPr>
        <w:t xml:space="preserve">. </w:t>
      </w:r>
      <w:r w:rsidRPr="00222233">
        <w:rPr>
          <w:rFonts w:asciiTheme="majorBidi" w:eastAsia="Times New Roman" w:hAnsiTheme="majorBidi" w:cstheme="majorBidi"/>
          <w:color w:val="222222"/>
          <w:sz w:val="24"/>
          <w:szCs w:val="24"/>
          <w:lang w:eastAsia="en-GB"/>
        </w:rPr>
        <w:t>Parallèlement aux TV, les TH correspondent à la possibilité, naturelle (N) ou artificielle (A), qu’un organisme</w:t>
      </w:r>
      <w:r>
        <w:rPr>
          <w:rFonts w:asciiTheme="majorBidi" w:eastAsia="Times New Roman" w:hAnsiTheme="majorBidi" w:cstheme="majorBidi"/>
          <w:color w:val="222222"/>
          <w:sz w:val="24"/>
          <w:szCs w:val="24"/>
          <w:lang w:eastAsia="en-GB"/>
        </w:rPr>
        <w:t xml:space="preserve"> </w:t>
      </w:r>
      <w:r w:rsidRPr="00222233">
        <w:rPr>
          <w:rFonts w:asciiTheme="majorBidi" w:eastAsia="Times New Roman" w:hAnsiTheme="majorBidi" w:cstheme="majorBidi"/>
          <w:color w:val="222222"/>
          <w:sz w:val="24"/>
          <w:szCs w:val="24"/>
          <w:lang w:eastAsia="en-GB"/>
        </w:rPr>
        <w:t>capte un fragment d’ADN présent dans son environnement de proximité. D’après la littérature scientifique, il est raisonnable de considérer que le transfert horizontal</w:t>
      </w:r>
      <w:r>
        <w:rPr>
          <w:rFonts w:asciiTheme="majorBidi" w:eastAsia="Times New Roman" w:hAnsiTheme="majorBidi" w:cstheme="majorBidi"/>
          <w:color w:val="222222"/>
          <w:sz w:val="24"/>
          <w:szCs w:val="24"/>
          <w:lang w:eastAsia="en-GB"/>
        </w:rPr>
        <w:t xml:space="preserve"> </w:t>
      </w:r>
      <w:r w:rsidRPr="00222233">
        <w:rPr>
          <w:rFonts w:asciiTheme="majorBidi" w:eastAsia="Times New Roman" w:hAnsiTheme="majorBidi" w:cstheme="majorBidi"/>
          <w:color w:val="222222"/>
          <w:sz w:val="24"/>
          <w:szCs w:val="24"/>
          <w:lang w:eastAsia="en-GB"/>
        </w:rPr>
        <w:t>de gènes est aussi un mécanisme habituel d’adaptation des organismes biologiques aux stress environnementaux. Le TH, aussi appelé « Transfert Latéral », est un</w:t>
      </w:r>
      <w:r>
        <w:rPr>
          <w:rFonts w:asciiTheme="majorBidi" w:eastAsia="Times New Roman" w:hAnsiTheme="majorBidi" w:cstheme="majorBidi"/>
          <w:color w:val="222222"/>
          <w:sz w:val="24"/>
          <w:szCs w:val="24"/>
          <w:lang w:eastAsia="en-GB"/>
        </w:rPr>
        <w:t xml:space="preserve"> </w:t>
      </w:r>
      <w:r w:rsidRPr="00222233">
        <w:rPr>
          <w:rFonts w:asciiTheme="majorBidi" w:eastAsia="Times New Roman" w:hAnsiTheme="majorBidi" w:cstheme="majorBidi"/>
          <w:color w:val="222222"/>
          <w:sz w:val="24"/>
          <w:szCs w:val="24"/>
          <w:lang w:eastAsia="en-GB"/>
        </w:rPr>
        <w:t>phénomène très bien décrit chez les bactéries sous les trois mécanismes :</w:t>
      </w:r>
    </w:p>
    <w:p w14:paraId="25615E8D" w14:textId="5AE42E53" w:rsidR="00222233" w:rsidRPr="00222233" w:rsidRDefault="00222233" w:rsidP="009C1CAF">
      <w:pPr>
        <w:pStyle w:val="ListParagraph"/>
        <w:numPr>
          <w:ilvl w:val="0"/>
          <w:numId w:val="1"/>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222233">
        <w:rPr>
          <w:rFonts w:asciiTheme="majorBidi" w:eastAsia="Times New Roman" w:hAnsiTheme="majorBidi" w:cstheme="majorBidi"/>
          <w:color w:val="222222"/>
          <w:sz w:val="24"/>
          <w:szCs w:val="24"/>
          <w:lang w:eastAsia="en-GB"/>
        </w:rPr>
        <w:t>Transduction : Mécanisme viral où un bactériophage transfère accidentellement de</w:t>
      </w:r>
      <w:r>
        <w:rPr>
          <w:rFonts w:asciiTheme="majorBidi" w:eastAsia="Times New Roman" w:hAnsiTheme="majorBidi" w:cstheme="majorBidi"/>
          <w:color w:val="222222"/>
          <w:sz w:val="24"/>
          <w:szCs w:val="24"/>
          <w:lang w:eastAsia="en-GB"/>
        </w:rPr>
        <w:t xml:space="preserve"> </w:t>
      </w:r>
      <w:r w:rsidRPr="00222233">
        <w:rPr>
          <w:rFonts w:asciiTheme="majorBidi" w:eastAsia="Times New Roman" w:hAnsiTheme="majorBidi" w:cstheme="majorBidi"/>
          <w:color w:val="222222"/>
          <w:sz w:val="24"/>
          <w:szCs w:val="24"/>
          <w:lang w:eastAsia="en-GB"/>
        </w:rPr>
        <w:t>l'ADN bactérien d'une cellule donneuse à une cellule receveuse, lors de son cycle</w:t>
      </w:r>
      <w:r w:rsidR="00027E49">
        <w:rPr>
          <w:rFonts w:asciiTheme="majorBidi" w:eastAsia="Times New Roman" w:hAnsiTheme="majorBidi" w:cstheme="majorBidi"/>
          <w:color w:val="222222"/>
          <w:sz w:val="24"/>
          <w:szCs w:val="24"/>
          <w:lang w:eastAsia="en-GB"/>
        </w:rPr>
        <w:t xml:space="preserve"> </w:t>
      </w:r>
      <w:r w:rsidRPr="00222233">
        <w:rPr>
          <w:rFonts w:asciiTheme="majorBidi" w:eastAsia="Times New Roman" w:hAnsiTheme="majorBidi" w:cstheme="majorBidi"/>
          <w:color w:val="222222"/>
          <w:sz w:val="24"/>
          <w:szCs w:val="24"/>
          <w:lang w:eastAsia="en-GB"/>
        </w:rPr>
        <w:t>d'infection.</w:t>
      </w:r>
    </w:p>
    <w:p w14:paraId="53761E44" w14:textId="77777777" w:rsidR="00222233" w:rsidRDefault="00222233" w:rsidP="009C1CAF">
      <w:pPr>
        <w:pStyle w:val="ListParagraph"/>
        <w:numPr>
          <w:ilvl w:val="0"/>
          <w:numId w:val="1"/>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222233">
        <w:rPr>
          <w:rFonts w:asciiTheme="majorBidi" w:eastAsia="Times New Roman" w:hAnsiTheme="majorBidi" w:cstheme="majorBidi"/>
          <w:color w:val="222222"/>
          <w:sz w:val="24"/>
          <w:szCs w:val="24"/>
          <w:lang w:eastAsia="en-GB"/>
        </w:rPr>
        <w:t>Transformation naturelle : Capture et intégration par une bactérie d'ADN libre et nu présent dans son environnement, provenant généralement d'autres bactéries lysées.</w:t>
      </w:r>
    </w:p>
    <w:p w14:paraId="46DBBA0A" w14:textId="2D333C9F" w:rsidR="00222233" w:rsidRPr="00717C39" w:rsidRDefault="00717C39" w:rsidP="00717C39">
      <w:pPr>
        <w:pStyle w:val="ListParagraph"/>
        <w:numPr>
          <w:ilvl w:val="0"/>
          <w:numId w:val="1"/>
        </w:numPr>
        <w:shd w:val="clear" w:color="auto" w:fill="FFFFFF"/>
        <w:spacing w:after="0" w:line="360" w:lineRule="auto"/>
        <w:jc w:val="both"/>
        <w:rPr>
          <w:rFonts w:asciiTheme="majorBidi" w:eastAsia="Times New Roman" w:hAnsiTheme="majorBidi" w:cstheme="majorBidi"/>
          <w:color w:val="222222"/>
          <w:sz w:val="24"/>
          <w:szCs w:val="24"/>
          <w:lang w:eastAsia="en-GB"/>
        </w:rPr>
      </w:pPr>
      <w:r>
        <w:rPr>
          <w:rFonts w:asciiTheme="majorBidi" w:eastAsia="Times New Roman" w:hAnsiTheme="majorBidi" w:cstheme="majorBidi"/>
          <w:noProof/>
          <w:color w:val="222222"/>
          <w:sz w:val="24"/>
          <w:szCs w:val="24"/>
          <w:lang w:eastAsia="en-GB"/>
        </w:rPr>
        <w:drawing>
          <wp:anchor distT="0" distB="0" distL="114300" distR="114300" simplePos="0" relativeHeight="251659264" behindDoc="0" locked="0" layoutInCell="1" allowOverlap="1" wp14:anchorId="27E16F4D" wp14:editId="7DC1D994">
            <wp:simplePos x="0" y="0"/>
            <wp:positionH relativeFrom="margin">
              <wp:align>center</wp:align>
            </wp:positionH>
            <wp:positionV relativeFrom="page">
              <wp:posOffset>6221730</wp:posOffset>
            </wp:positionV>
            <wp:extent cx="4857750" cy="3080385"/>
            <wp:effectExtent l="19050" t="19050" r="19050" b="24765"/>
            <wp:wrapTopAndBottom/>
            <wp:docPr id="213093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0655" name="Picture 2130930655"/>
                    <pic:cNvPicPr/>
                  </pic:nvPicPr>
                  <pic:blipFill>
                    <a:blip r:embed="rId8">
                      <a:extLst>
                        <a:ext uri="{28A0092B-C50C-407E-A947-70E740481C1C}">
                          <a14:useLocalDpi xmlns:a14="http://schemas.microsoft.com/office/drawing/2010/main" val="0"/>
                        </a:ext>
                      </a:extLst>
                    </a:blip>
                    <a:stretch>
                      <a:fillRect/>
                    </a:stretch>
                  </pic:blipFill>
                  <pic:spPr>
                    <a:xfrm>
                      <a:off x="0" y="0"/>
                      <a:ext cx="4857750" cy="30803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22233" w:rsidRPr="00222233">
        <w:rPr>
          <w:rFonts w:asciiTheme="majorBidi" w:eastAsia="Times New Roman" w:hAnsiTheme="majorBidi" w:cstheme="majorBidi"/>
          <w:color w:val="222222"/>
          <w:sz w:val="24"/>
          <w:szCs w:val="24"/>
          <w:lang w:eastAsia="en-GB"/>
        </w:rPr>
        <w:t>Conjugaison : Transfert direct d'ADN (souvent plasmidique) d'une bactérie donneuse à une receveuse, via un contact physique (pilus), permettant la réplication autonome ou l'intégration du matériel génétique.</w:t>
      </w:r>
    </w:p>
    <w:p w14:paraId="2B584FCB" w14:textId="301C727F" w:rsidR="00027E49" w:rsidRPr="00027E49" w:rsidRDefault="00717C39" w:rsidP="00411EE3">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r>
        <w:rPr>
          <w:rFonts w:asciiTheme="majorBidi" w:eastAsia="Times New Roman" w:hAnsiTheme="majorBidi" w:cstheme="majorBidi"/>
          <w:b/>
          <w:bCs/>
          <w:color w:val="222222"/>
          <w:sz w:val="20"/>
          <w:szCs w:val="20"/>
          <w:lang w:eastAsia="en-GB"/>
        </w:rPr>
        <w:t xml:space="preserve">Figure </w:t>
      </w:r>
      <w:r w:rsidR="00B668FB">
        <w:rPr>
          <w:rFonts w:asciiTheme="majorBidi" w:eastAsia="Times New Roman" w:hAnsiTheme="majorBidi" w:cstheme="majorBidi"/>
          <w:b/>
          <w:bCs/>
          <w:color w:val="222222"/>
          <w:sz w:val="20"/>
          <w:szCs w:val="20"/>
          <w:lang w:eastAsia="en-GB"/>
        </w:rPr>
        <w:t>0</w:t>
      </w:r>
      <w:r>
        <w:rPr>
          <w:rFonts w:asciiTheme="majorBidi" w:eastAsia="Times New Roman" w:hAnsiTheme="majorBidi" w:cstheme="majorBidi"/>
          <w:b/>
          <w:bCs/>
          <w:color w:val="222222"/>
          <w:sz w:val="20"/>
          <w:szCs w:val="20"/>
          <w:lang w:eastAsia="en-GB"/>
        </w:rPr>
        <w:t>1. Représentation schématique de trois types principaux de transfert horizontal de gènes chez les bactéries</w:t>
      </w:r>
    </w:p>
    <w:p w14:paraId="7D7731EA" w14:textId="41866744" w:rsidR="00027E49" w:rsidRPr="00027E49" w:rsidRDefault="000C0EAF" w:rsidP="009C1CAF">
      <w:pPr>
        <w:shd w:val="clear" w:color="auto" w:fill="FFFFFF"/>
        <w:spacing w:after="0" w:line="360" w:lineRule="auto"/>
        <w:jc w:val="both"/>
        <w:rPr>
          <w:rFonts w:asciiTheme="majorBidi" w:eastAsia="Times New Roman" w:hAnsiTheme="majorBidi" w:cstheme="majorBidi"/>
          <w:b/>
          <w:bCs/>
          <w:color w:val="222222"/>
          <w:sz w:val="26"/>
          <w:szCs w:val="26"/>
          <w:lang w:eastAsia="en-GB"/>
        </w:rPr>
      </w:pPr>
      <w:r>
        <w:rPr>
          <w:rFonts w:asciiTheme="majorBidi" w:eastAsia="Times New Roman" w:hAnsiTheme="majorBidi" w:cstheme="majorBidi"/>
          <w:b/>
          <w:bCs/>
          <w:color w:val="222222"/>
          <w:sz w:val="26"/>
          <w:szCs w:val="26"/>
          <w:lang w:eastAsia="en-GB"/>
        </w:rPr>
        <w:lastRenderedPageBreak/>
        <w:t>La conjugaison bactérienne</w:t>
      </w:r>
    </w:p>
    <w:p w14:paraId="460A7E8F" w14:textId="287D5A0A" w:rsidR="00EE321F" w:rsidRPr="00EE321F" w:rsidRDefault="00EE321F" w:rsidP="00373D09">
      <w:pPr>
        <w:spacing w:after="0" w:line="360" w:lineRule="auto"/>
        <w:jc w:val="both"/>
        <w:rPr>
          <w:rFonts w:asciiTheme="majorBidi" w:eastAsia="Times New Roman" w:hAnsiTheme="majorBidi" w:cstheme="majorBidi"/>
          <w:sz w:val="24"/>
          <w:szCs w:val="24"/>
          <w:lang w:eastAsia="en-GB"/>
        </w:rPr>
      </w:pPr>
      <w:r w:rsidRPr="00EE321F">
        <w:rPr>
          <w:rFonts w:asciiTheme="majorBidi" w:eastAsia="Times New Roman" w:hAnsiTheme="majorBidi" w:cstheme="majorBidi"/>
          <w:color w:val="222222"/>
          <w:sz w:val="24"/>
          <w:szCs w:val="24"/>
          <w:shd w:val="clear" w:color="auto" w:fill="FFFFFF"/>
          <w:lang w:eastAsia="en-GB"/>
        </w:rPr>
        <w:t>La conjugaison bactérienne est un mécanisme de transfert de matériel génétique qui permet à une bactérie donneuse de transmettre son ADN à une bactérie réceptrice.</w:t>
      </w:r>
      <w:r w:rsidR="00373D09">
        <w:rPr>
          <w:rFonts w:asciiTheme="majorBidi" w:eastAsia="Times New Roman" w:hAnsiTheme="majorBidi" w:cstheme="majorBidi"/>
          <w:color w:val="222222"/>
          <w:sz w:val="24"/>
          <w:szCs w:val="24"/>
          <w:shd w:val="clear" w:color="auto" w:fill="FFFFFF"/>
          <w:lang w:eastAsia="en-GB"/>
        </w:rPr>
        <w:t xml:space="preserve"> </w:t>
      </w:r>
      <w:r w:rsidR="00373D09" w:rsidRPr="00222233">
        <w:rPr>
          <w:rFonts w:asciiTheme="majorBidi" w:eastAsia="Times New Roman" w:hAnsiTheme="majorBidi" w:cstheme="majorBidi"/>
          <w:color w:val="222222"/>
          <w:sz w:val="24"/>
          <w:szCs w:val="24"/>
          <w:lang w:eastAsia="en-GB"/>
        </w:rPr>
        <w:t>Considérée comme une forme de parasexualité bactérienne, la conjugaison est un phénomène ubiquitaire qui facilite la dissémination d'une large diversité d'éléments génétiques mobiles, incluant des plasmides de différentes tailles, des transposons, et parfois même des segments chromosomiques. À l'issue du transfert, la cellule réceptrice, désignée sous le terme de</w:t>
      </w:r>
      <w:r w:rsidR="00373D09">
        <w:rPr>
          <w:rFonts w:asciiTheme="majorBidi" w:eastAsia="Times New Roman" w:hAnsiTheme="majorBidi" w:cstheme="majorBidi"/>
          <w:color w:val="222222"/>
          <w:sz w:val="24"/>
          <w:szCs w:val="24"/>
          <w:lang w:eastAsia="en-GB"/>
        </w:rPr>
        <w:t xml:space="preserve"> </w:t>
      </w:r>
      <w:r w:rsidR="00373D09" w:rsidRPr="00222233">
        <w:rPr>
          <w:rFonts w:asciiTheme="majorBidi" w:eastAsia="Times New Roman" w:hAnsiTheme="majorBidi" w:cstheme="majorBidi"/>
          <w:color w:val="222222"/>
          <w:sz w:val="24"/>
          <w:szCs w:val="24"/>
          <w:lang w:eastAsia="en-GB"/>
        </w:rPr>
        <w:t>«</w:t>
      </w:r>
      <w:r w:rsidR="00373D09">
        <w:rPr>
          <w:rFonts w:asciiTheme="majorBidi" w:eastAsia="Times New Roman" w:hAnsiTheme="majorBidi" w:cstheme="majorBidi"/>
          <w:color w:val="222222"/>
          <w:sz w:val="24"/>
          <w:szCs w:val="24"/>
          <w:lang w:eastAsia="en-GB"/>
        </w:rPr>
        <w:t xml:space="preserve"> </w:t>
      </w:r>
      <w:proofErr w:type="spellStart"/>
      <w:r w:rsidR="00373D09" w:rsidRPr="00222233">
        <w:rPr>
          <w:rFonts w:asciiTheme="majorBidi" w:eastAsia="Times New Roman" w:hAnsiTheme="majorBidi" w:cstheme="majorBidi"/>
          <w:color w:val="222222"/>
          <w:sz w:val="24"/>
          <w:szCs w:val="24"/>
          <w:lang w:eastAsia="en-GB"/>
        </w:rPr>
        <w:t>transconjugant</w:t>
      </w:r>
      <w:proofErr w:type="spellEnd"/>
      <w:r w:rsidR="00373D09">
        <w:rPr>
          <w:rFonts w:asciiTheme="majorBidi" w:eastAsia="Times New Roman" w:hAnsiTheme="majorBidi" w:cstheme="majorBidi"/>
          <w:color w:val="222222"/>
          <w:sz w:val="24"/>
          <w:szCs w:val="24"/>
          <w:lang w:eastAsia="en-GB"/>
        </w:rPr>
        <w:t xml:space="preserve"> </w:t>
      </w:r>
      <w:r w:rsidR="00373D09" w:rsidRPr="00222233">
        <w:rPr>
          <w:rFonts w:asciiTheme="majorBidi" w:eastAsia="Times New Roman" w:hAnsiTheme="majorBidi" w:cstheme="majorBidi"/>
          <w:color w:val="222222"/>
          <w:sz w:val="24"/>
          <w:szCs w:val="24"/>
          <w:lang w:eastAsia="en-GB"/>
        </w:rPr>
        <w:t xml:space="preserve">», acquiert et peut exprimer ce nouveau matériel génétique, mélangeant ainsi les propriétés des souches parentales. De plus, l'acquisition d'un plasmide conjugatif confère fréquemment à ce </w:t>
      </w:r>
      <w:proofErr w:type="spellStart"/>
      <w:r w:rsidR="00373D09" w:rsidRPr="00222233">
        <w:rPr>
          <w:rFonts w:asciiTheme="majorBidi" w:eastAsia="Times New Roman" w:hAnsiTheme="majorBidi" w:cstheme="majorBidi"/>
          <w:color w:val="222222"/>
          <w:sz w:val="24"/>
          <w:szCs w:val="24"/>
          <w:lang w:eastAsia="en-GB"/>
        </w:rPr>
        <w:t>transconjugant</w:t>
      </w:r>
      <w:proofErr w:type="spellEnd"/>
      <w:r w:rsidR="00373D09" w:rsidRPr="00222233">
        <w:rPr>
          <w:rFonts w:asciiTheme="majorBidi" w:eastAsia="Times New Roman" w:hAnsiTheme="majorBidi" w:cstheme="majorBidi"/>
          <w:color w:val="222222"/>
          <w:sz w:val="24"/>
          <w:szCs w:val="24"/>
          <w:lang w:eastAsia="en-GB"/>
        </w:rPr>
        <w:t xml:space="preserve"> la capacité de devenir à son tour une cellule donneuse, perpétuant ainsi la propagation des caractères génétiques au sein des populations bactériennes</w:t>
      </w:r>
    </w:p>
    <w:p w14:paraId="6D9BFA07" w14:textId="13D3D23C" w:rsidR="00373D09" w:rsidRPr="00EE321F" w:rsidRDefault="00EE321F" w:rsidP="00373D0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EE321F">
        <w:rPr>
          <w:rFonts w:asciiTheme="majorBidi" w:eastAsia="Times New Roman" w:hAnsiTheme="majorBidi" w:cstheme="majorBidi"/>
          <w:color w:val="222222"/>
          <w:sz w:val="24"/>
          <w:szCs w:val="24"/>
          <w:lang w:eastAsia="en-GB"/>
        </w:rPr>
        <w:t>Le point de départ de la conjugaison est le pilus sexuel, une structure filamentaire que produit la bactérie donneuse, souvent notée F+. Ce pilus est essentiel pour établir le contact avec la bactérie réceptrice, qui est généralement notée F-. C’est un peu comme un pont qui permet d’échanger des informations précieuses.</w:t>
      </w:r>
    </w:p>
    <w:p w14:paraId="48A07505" w14:textId="069331B9" w:rsidR="00032723" w:rsidRPr="00512A81" w:rsidRDefault="00512A81" w:rsidP="00512A81">
      <w:pPr>
        <w:pStyle w:val="ListParagraph"/>
        <w:numPr>
          <w:ilvl w:val="0"/>
          <w:numId w:val="2"/>
        </w:numPr>
        <w:shd w:val="clear" w:color="auto" w:fill="FFFFFF"/>
        <w:spacing w:after="0" w:line="360" w:lineRule="auto"/>
        <w:jc w:val="both"/>
        <w:rPr>
          <w:rFonts w:asciiTheme="majorBidi" w:eastAsia="Times New Roman" w:hAnsiTheme="majorBidi" w:cstheme="majorBidi"/>
          <w:b/>
          <w:bCs/>
          <w:color w:val="222222"/>
          <w:sz w:val="24"/>
          <w:szCs w:val="24"/>
          <w:lang w:eastAsia="en-GB"/>
        </w:rPr>
      </w:pPr>
      <w:r>
        <w:rPr>
          <w:rFonts w:asciiTheme="majorBidi" w:eastAsia="Times New Roman" w:hAnsiTheme="majorBidi" w:cstheme="majorBidi"/>
          <w:b/>
          <w:bCs/>
          <w:color w:val="222222"/>
          <w:sz w:val="24"/>
          <w:szCs w:val="24"/>
          <w:lang w:eastAsia="en-GB"/>
        </w:rPr>
        <w:t>Découverte de la conjugaison</w:t>
      </w:r>
    </w:p>
    <w:p w14:paraId="4928713E" w14:textId="791B9C96" w:rsidR="00032723" w:rsidRPr="00032723" w:rsidRDefault="00032723" w:rsidP="00373D09">
      <w:pPr>
        <w:spacing w:after="0" w:line="360" w:lineRule="auto"/>
        <w:jc w:val="both"/>
        <w:rPr>
          <w:rFonts w:asciiTheme="majorBidi" w:eastAsia="Times New Roman" w:hAnsiTheme="majorBidi" w:cstheme="majorBidi"/>
          <w:sz w:val="24"/>
          <w:szCs w:val="24"/>
          <w:lang w:eastAsia="en-GB"/>
        </w:rPr>
      </w:pPr>
      <w:r w:rsidRPr="00032723">
        <w:rPr>
          <w:rFonts w:asciiTheme="majorBidi" w:eastAsia="Times New Roman" w:hAnsiTheme="majorBidi" w:cstheme="majorBidi"/>
          <w:color w:val="222222"/>
          <w:sz w:val="24"/>
          <w:szCs w:val="24"/>
          <w:shd w:val="clear" w:color="auto" w:fill="FFFFFF"/>
          <w:lang w:eastAsia="en-GB"/>
        </w:rPr>
        <w:t xml:space="preserve">L’expérience menée en 1946 par Joshua </w:t>
      </w:r>
      <w:proofErr w:type="spellStart"/>
      <w:r w:rsidRPr="00032723">
        <w:rPr>
          <w:rFonts w:asciiTheme="majorBidi" w:eastAsia="Times New Roman" w:hAnsiTheme="majorBidi" w:cstheme="majorBidi"/>
          <w:color w:val="222222"/>
          <w:sz w:val="24"/>
          <w:szCs w:val="24"/>
          <w:shd w:val="clear" w:color="auto" w:fill="FFFFFF"/>
          <w:lang w:eastAsia="en-GB"/>
        </w:rPr>
        <w:t>Lederberg</w:t>
      </w:r>
      <w:proofErr w:type="spellEnd"/>
      <w:r w:rsidRPr="00032723">
        <w:rPr>
          <w:rFonts w:asciiTheme="majorBidi" w:eastAsia="Times New Roman" w:hAnsiTheme="majorBidi" w:cstheme="majorBidi"/>
          <w:color w:val="222222"/>
          <w:sz w:val="24"/>
          <w:szCs w:val="24"/>
          <w:shd w:val="clear" w:color="auto" w:fill="FFFFFF"/>
          <w:lang w:eastAsia="en-GB"/>
        </w:rPr>
        <w:t xml:space="preserve"> et Edward L. Tatum a constitué la première démonstration expérimentale de la conjugaison bactérienne, mécanisme de transfert de matériel génétique nécessitant un contact direct entre cellules. Les auteurs ont procédé au mélange de deux souches auxotrophes, qu’ils ont ensuite incubées pendant plusieurs heures dans un milieu nutritif complet, avant d’ensemencer la culture sur un milieu minimum.</w:t>
      </w:r>
    </w:p>
    <w:p w14:paraId="5469C873" w14:textId="77777777" w:rsidR="00032723" w:rsidRPr="00032723" w:rsidRDefault="00032723" w:rsidP="00373D0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032723">
        <w:rPr>
          <w:rFonts w:asciiTheme="majorBidi" w:eastAsia="Times New Roman" w:hAnsiTheme="majorBidi" w:cstheme="majorBidi"/>
          <w:color w:val="222222"/>
          <w:sz w:val="24"/>
          <w:szCs w:val="24"/>
          <w:lang w:eastAsia="en-GB"/>
        </w:rPr>
        <w:t xml:space="preserve">Cette étude a été réalisée à partir de deux souches poly-auxotrophes </w:t>
      </w:r>
      <w:r>
        <w:rPr>
          <w:rFonts w:asciiTheme="majorBidi" w:eastAsia="Times New Roman" w:hAnsiTheme="majorBidi" w:cstheme="majorBidi"/>
          <w:color w:val="222222"/>
          <w:sz w:val="24"/>
          <w:szCs w:val="24"/>
          <w:lang w:eastAsia="en-GB"/>
        </w:rPr>
        <w:t>d</w:t>
      </w:r>
      <w:r w:rsidRPr="00032723">
        <w:rPr>
          <w:rFonts w:asciiTheme="majorBidi" w:eastAsia="Times New Roman" w:hAnsiTheme="majorBidi" w:cstheme="majorBidi"/>
          <w:i/>
          <w:iCs/>
          <w:color w:val="222222"/>
          <w:sz w:val="24"/>
          <w:szCs w:val="24"/>
          <w:lang w:eastAsia="en-GB"/>
        </w:rPr>
        <w:t>’Escherichia</w:t>
      </w:r>
      <w:r w:rsidRPr="00032723">
        <w:rPr>
          <w:rFonts w:asciiTheme="majorBidi" w:eastAsia="Times New Roman" w:hAnsiTheme="majorBidi" w:cstheme="majorBidi"/>
          <w:color w:val="222222"/>
          <w:sz w:val="24"/>
          <w:szCs w:val="24"/>
          <w:lang w:eastAsia="en-GB"/>
        </w:rPr>
        <w:t xml:space="preserve"> </w:t>
      </w:r>
      <w:proofErr w:type="gramStart"/>
      <w:r w:rsidRPr="00032723">
        <w:rPr>
          <w:rFonts w:asciiTheme="majorBidi" w:eastAsia="Times New Roman" w:hAnsiTheme="majorBidi" w:cstheme="majorBidi"/>
          <w:i/>
          <w:iCs/>
          <w:color w:val="222222"/>
          <w:sz w:val="24"/>
          <w:szCs w:val="24"/>
          <w:lang w:eastAsia="en-GB"/>
        </w:rPr>
        <w:t>coli</w:t>
      </w:r>
      <w:proofErr w:type="gramEnd"/>
      <w:r>
        <w:rPr>
          <w:rFonts w:asciiTheme="majorBidi" w:eastAsia="Times New Roman" w:hAnsiTheme="majorBidi" w:cstheme="majorBidi"/>
          <w:color w:val="222222"/>
          <w:sz w:val="24"/>
          <w:szCs w:val="24"/>
          <w:lang w:eastAsia="en-GB"/>
        </w:rPr>
        <w:t xml:space="preserve"> </w:t>
      </w:r>
      <w:r w:rsidRPr="00032723">
        <w:rPr>
          <w:rFonts w:asciiTheme="majorBidi" w:eastAsia="Times New Roman" w:hAnsiTheme="majorBidi" w:cstheme="majorBidi"/>
          <w:color w:val="222222"/>
          <w:sz w:val="24"/>
          <w:szCs w:val="24"/>
          <w:lang w:eastAsia="en-GB"/>
        </w:rPr>
        <w:t>K-12, désignées A et B. La souche A présentait des auxotrophies pour la thréonine et la leucine, tandis que la souche B était auxotrophe pour la biotine, la méthionine et la thiamine. Après incubation sur milieu minimum, l’apparition de colonies recombinantes prototrophes a été observée, attestant de la recombinaison génétique entre les chromosomes des deux souches.</w:t>
      </w:r>
      <w:r w:rsidR="00A9608C">
        <w:rPr>
          <w:rFonts w:asciiTheme="majorBidi" w:eastAsia="Times New Roman" w:hAnsiTheme="majorBidi" w:cstheme="majorBidi"/>
          <w:color w:val="222222"/>
          <w:sz w:val="24"/>
          <w:szCs w:val="24"/>
          <w:lang w:eastAsia="en-GB"/>
        </w:rPr>
        <w:t xml:space="preserve"> </w:t>
      </w:r>
      <w:r w:rsidRPr="00032723">
        <w:rPr>
          <w:rFonts w:asciiTheme="majorBidi" w:eastAsia="Times New Roman" w:hAnsiTheme="majorBidi" w:cstheme="majorBidi"/>
          <w:color w:val="222222"/>
          <w:sz w:val="24"/>
          <w:szCs w:val="24"/>
          <w:lang w:eastAsia="en-GB"/>
        </w:rPr>
        <w:t>Ces résultats ont ainsi démontré que le matériel génétique des deux bactéries pouvait s’associer et se recombiner, fournissant une preuve directe de l’existence de la conjugaison bactérienne. Par ailleurs, l’utilisation de souches poly-auxotrophes présente un avantage méthodologique majeur, dans la mesure où la réversion spontanée vers l’état prototrophe demeure extrêmement rare, renforçant ainsi la validité des conclusions expérimentales.</w:t>
      </w:r>
    </w:p>
    <w:p w14:paraId="1FD669A6" w14:textId="20D5409C" w:rsidR="00032723" w:rsidRDefault="00A9608C" w:rsidP="00373D09">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r>
        <w:rPr>
          <w:rFonts w:asciiTheme="majorBidi" w:eastAsia="Times New Roman" w:hAnsiTheme="majorBidi" w:cstheme="majorBidi"/>
          <w:noProof/>
          <w:color w:val="222222"/>
          <w:sz w:val="24"/>
          <w:szCs w:val="24"/>
          <w:lang w:eastAsia="en-GB"/>
        </w:rPr>
        <w:lastRenderedPageBreak/>
        <w:drawing>
          <wp:anchor distT="0" distB="0" distL="114300" distR="114300" simplePos="0" relativeHeight="251660288" behindDoc="0" locked="0" layoutInCell="1" allowOverlap="1" wp14:anchorId="5DDD85E8" wp14:editId="79406FC4">
            <wp:simplePos x="0" y="0"/>
            <wp:positionH relativeFrom="margin">
              <wp:align>center</wp:align>
            </wp:positionH>
            <wp:positionV relativeFrom="page">
              <wp:posOffset>806450</wp:posOffset>
            </wp:positionV>
            <wp:extent cx="3286125" cy="3533140"/>
            <wp:effectExtent l="19050" t="19050" r="28575" b="10160"/>
            <wp:wrapTopAndBottom/>
            <wp:docPr id="1785932173" name="Picture 3" descr="A diagram of different types of bac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2173" name="Picture 3" descr="A diagram of different types of bacteria&#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6125" cy="35331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436B9">
        <w:rPr>
          <w:rFonts w:asciiTheme="majorBidi" w:eastAsia="Times New Roman" w:hAnsiTheme="majorBidi" w:cstheme="majorBidi"/>
          <w:b/>
          <w:bCs/>
          <w:color w:val="222222"/>
          <w:sz w:val="20"/>
          <w:szCs w:val="20"/>
          <w:lang w:eastAsia="en-GB"/>
        </w:rPr>
        <w:t xml:space="preserve">Figure </w:t>
      </w:r>
      <w:r w:rsidR="00B668FB">
        <w:rPr>
          <w:rFonts w:asciiTheme="majorBidi" w:eastAsia="Times New Roman" w:hAnsiTheme="majorBidi" w:cstheme="majorBidi"/>
          <w:b/>
          <w:bCs/>
          <w:color w:val="222222"/>
          <w:sz w:val="20"/>
          <w:szCs w:val="20"/>
          <w:lang w:eastAsia="en-GB"/>
        </w:rPr>
        <w:t>0</w:t>
      </w:r>
      <w:r w:rsidR="001436B9">
        <w:rPr>
          <w:rFonts w:asciiTheme="majorBidi" w:eastAsia="Times New Roman" w:hAnsiTheme="majorBidi" w:cstheme="majorBidi"/>
          <w:b/>
          <w:bCs/>
          <w:color w:val="222222"/>
          <w:sz w:val="20"/>
          <w:szCs w:val="20"/>
          <w:lang w:eastAsia="en-GB"/>
        </w:rPr>
        <w:t>2. Mise en évidence de la conjugaison bactérienne (</w:t>
      </w:r>
      <w:proofErr w:type="spellStart"/>
      <w:r w:rsidR="00411EE3">
        <w:rPr>
          <w:rFonts w:asciiTheme="majorBidi" w:eastAsia="Times New Roman" w:hAnsiTheme="majorBidi" w:cstheme="majorBidi"/>
          <w:b/>
          <w:bCs/>
          <w:color w:val="222222"/>
          <w:sz w:val="20"/>
          <w:szCs w:val="20"/>
          <w:lang w:eastAsia="en-GB"/>
        </w:rPr>
        <w:t>Ledebereg</w:t>
      </w:r>
      <w:proofErr w:type="spellEnd"/>
      <w:r w:rsidR="00411EE3">
        <w:rPr>
          <w:rFonts w:asciiTheme="majorBidi" w:eastAsia="Times New Roman" w:hAnsiTheme="majorBidi" w:cstheme="majorBidi"/>
          <w:b/>
          <w:bCs/>
          <w:color w:val="222222"/>
          <w:sz w:val="20"/>
          <w:szCs w:val="20"/>
          <w:lang w:eastAsia="en-GB"/>
        </w:rPr>
        <w:t xml:space="preserve"> et Tatum 1946)</w:t>
      </w:r>
    </w:p>
    <w:p w14:paraId="1C45EA0F" w14:textId="6F8B9F1F" w:rsidR="00301E1D" w:rsidRPr="00411EE3" w:rsidRDefault="00411EE3" w:rsidP="00373D0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411EE3">
        <w:rPr>
          <w:rFonts w:asciiTheme="majorBidi" w:eastAsia="Times New Roman" w:hAnsiTheme="majorBidi" w:cstheme="majorBidi"/>
          <w:color w:val="222222"/>
          <w:sz w:val="24"/>
          <w:szCs w:val="24"/>
          <w:lang w:eastAsia="en-GB"/>
        </w:rPr>
        <w:t xml:space="preserve">L’expérience pionnière de </w:t>
      </w:r>
      <w:proofErr w:type="spellStart"/>
      <w:r w:rsidRPr="00411EE3">
        <w:rPr>
          <w:rFonts w:asciiTheme="majorBidi" w:eastAsia="Times New Roman" w:hAnsiTheme="majorBidi" w:cstheme="majorBidi"/>
          <w:color w:val="222222"/>
          <w:sz w:val="24"/>
          <w:szCs w:val="24"/>
          <w:lang w:eastAsia="en-GB"/>
        </w:rPr>
        <w:t>Lederberg</w:t>
      </w:r>
      <w:proofErr w:type="spellEnd"/>
      <w:r w:rsidRPr="00411EE3">
        <w:rPr>
          <w:rFonts w:asciiTheme="majorBidi" w:eastAsia="Times New Roman" w:hAnsiTheme="majorBidi" w:cstheme="majorBidi"/>
          <w:color w:val="222222"/>
          <w:sz w:val="24"/>
          <w:szCs w:val="24"/>
          <w:lang w:eastAsia="en-GB"/>
        </w:rPr>
        <w:t xml:space="preserve"> et Tatum (1946), bien qu’elle ait établi l’existence d’un transfert génétique bactérien, n’avait pas démontré que celui-ci requérait un contact physique direct entre les cellules. La preuve décisive de cette nécessité a été apportée par Bernard Davis en 1950, grâce à un dispositif expérimental ingénieux. Davis utilisa un tube en U dont les deux branches étaient séparées à leur base par un filtre en verre fritté, permettant la libre diffusion du milieu nutritif mais empêchant tout passage des cellules bactériennes. Chaque branche fut inoculée avec une souche auxotrophe distincte </w:t>
      </w:r>
      <w:r w:rsidR="008B51C4">
        <w:rPr>
          <w:rFonts w:asciiTheme="majorBidi" w:eastAsia="Times New Roman" w:hAnsiTheme="majorBidi" w:cstheme="majorBidi"/>
          <w:color w:val="222222"/>
          <w:sz w:val="24"/>
          <w:szCs w:val="24"/>
          <w:lang w:eastAsia="en-GB"/>
        </w:rPr>
        <w:t>d</w:t>
      </w:r>
      <w:r w:rsidRPr="00411EE3">
        <w:rPr>
          <w:rFonts w:asciiTheme="majorBidi" w:eastAsia="Times New Roman" w:hAnsiTheme="majorBidi" w:cstheme="majorBidi"/>
          <w:i/>
          <w:iCs/>
          <w:color w:val="222222"/>
          <w:sz w:val="24"/>
          <w:szCs w:val="24"/>
          <w:lang w:eastAsia="en-GB"/>
        </w:rPr>
        <w:t>’Escherichia</w:t>
      </w:r>
      <w:r w:rsidRPr="00411EE3">
        <w:rPr>
          <w:rFonts w:asciiTheme="majorBidi" w:eastAsia="Times New Roman" w:hAnsiTheme="majorBidi" w:cstheme="majorBidi"/>
          <w:color w:val="222222"/>
          <w:sz w:val="24"/>
          <w:szCs w:val="24"/>
          <w:lang w:eastAsia="en-GB"/>
        </w:rPr>
        <w:t xml:space="preserve"> </w:t>
      </w:r>
      <w:proofErr w:type="gramStart"/>
      <w:r w:rsidRPr="00411EE3">
        <w:rPr>
          <w:rFonts w:asciiTheme="majorBidi" w:eastAsia="Times New Roman" w:hAnsiTheme="majorBidi" w:cstheme="majorBidi"/>
          <w:i/>
          <w:iCs/>
          <w:color w:val="222222"/>
          <w:sz w:val="24"/>
          <w:szCs w:val="24"/>
          <w:lang w:eastAsia="en-GB"/>
        </w:rPr>
        <w:t>coli</w:t>
      </w:r>
      <w:proofErr w:type="gramEnd"/>
      <w:r w:rsidRPr="00411EE3">
        <w:rPr>
          <w:rFonts w:asciiTheme="majorBidi" w:eastAsia="Times New Roman" w:hAnsiTheme="majorBidi" w:cstheme="majorBidi"/>
          <w:color w:val="222222"/>
          <w:sz w:val="24"/>
          <w:szCs w:val="24"/>
          <w:lang w:eastAsia="en-GB"/>
        </w:rPr>
        <w:t xml:space="preserve">. Après incubation, les cultures de chaque compartiment furent étalées sur un milieu minimal. Aucune colonie prototrophe ne se développa, ce qui démontra que le transfert génétique observé par </w:t>
      </w:r>
      <w:proofErr w:type="spellStart"/>
      <w:r w:rsidRPr="00411EE3">
        <w:rPr>
          <w:rFonts w:asciiTheme="majorBidi" w:eastAsia="Times New Roman" w:hAnsiTheme="majorBidi" w:cstheme="majorBidi"/>
          <w:color w:val="222222"/>
          <w:sz w:val="24"/>
          <w:szCs w:val="24"/>
          <w:lang w:eastAsia="en-GB"/>
        </w:rPr>
        <w:t>Lederberg</w:t>
      </w:r>
      <w:proofErr w:type="spellEnd"/>
      <w:r w:rsidRPr="00411EE3">
        <w:rPr>
          <w:rFonts w:asciiTheme="majorBidi" w:eastAsia="Times New Roman" w:hAnsiTheme="majorBidi" w:cstheme="majorBidi"/>
          <w:color w:val="222222"/>
          <w:sz w:val="24"/>
          <w:szCs w:val="24"/>
          <w:lang w:eastAsia="en-GB"/>
        </w:rPr>
        <w:t xml:space="preserve"> et Tatum n’avait pas lieu en l’absence de contact cellulaire.</w:t>
      </w:r>
      <w:r w:rsidR="00301E1D" w:rsidRPr="00301E1D">
        <w:rPr>
          <w:rFonts w:asciiTheme="majorBidi" w:eastAsia="Times New Roman" w:hAnsiTheme="majorBidi" w:cstheme="majorBidi"/>
          <w:noProof/>
          <w:color w:val="222222"/>
          <w:sz w:val="24"/>
          <w:szCs w:val="24"/>
          <w:lang w:eastAsia="en-GB"/>
        </w:rPr>
        <w:t xml:space="preserve"> </w:t>
      </w:r>
      <w:r w:rsidR="00301E1D" w:rsidRPr="00411EE3">
        <w:rPr>
          <w:rFonts w:asciiTheme="majorBidi" w:eastAsia="Times New Roman" w:hAnsiTheme="majorBidi" w:cstheme="majorBidi"/>
          <w:color w:val="222222"/>
          <w:sz w:val="24"/>
          <w:szCs w:val="24"/>
          <w:lang w:eastAsia="en-GB"/>
        </w:rPr>
        <w:t>Cette expérience permit de conclure que le mécanisme de recombinaison génétique précédemment découvert dépendait d’une interaction physique directe entre les bactéries, consolidant ainsi le concept de conjugaison comme un processus de transfert actif médié par un contact intercellulaire.</w:t>
      </w:r>
    </w:p>
    <w:p w14:paraId="2944433C" w14:textId="41310EA0" w:rsidR="00411EE3" w:rsidRPr="00411EE3" w:rsidRDefault="00411EE3" w:rsidP="00411EE3">
      <w:pPr>
        <w:shd w:val="clear" w:color="auto" w:fill="FFFFFF"/>
        <w:spacing w:after="0" w:line="360" w:lineRule="auto"/>
        <w:rPr>
          <w:rFonts w:asciiTheme="majorBidi" w:eastAsia="Times New Roman" w:hAnsiTheme="majorBidi" w:cstheme="majorBidi"/>
          <w:color w:val="222222"/>
          <w:sz w:val="24"/>
          <w:szCs w:val="24"/>
          <w:lang w:eastAsia="en-GB"/>
        </w:rPr>
      </w:pPr>
    </w:p>
    <w:p w14:paraId="5A38DE8C" w14:textId="77777777" w:rsidR="00301E1D" w:rsidRDefault="00301E1D" w:rsidP="00512A81">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740DCD50" w14:textId="77777777" w:rsidR="00301E1D" w:rsidRDefault="00301E1D" w:rsidP="00512A81">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68AEBA0E" w14:textId="77777777" w:rsidR="00301E1D" w:rsidRDefault="00301E1D" w:rsidP="00512A81">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20930CAC" w14:textId="77777777" w:rsidR="00301E1D" w:rsidRDefault="00301E1D" w:rsidP="00512A81">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4A2679DA" w14:textId="77777777" w:rsidR="00301E1D" w:rsidRDefault="00301E1D" w:rsidP="00512A81">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22BFDE5E" w14:textId="77777777" w:rsidR="00301E1D" w:rsidRDefault="00301E1D" w:rsidP="00512A81">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549D96A5" w14:textId="77777777" w:rsidR="00373D09" w:rsidRDefault="00373D09" w:rsidP="00373D09">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p>
    <w:p w14:paraId="273C4F32" w14:textId="01FB4D68" w:rsidR="00222233" w:rsidRDefault="00301E1D" w:rsidP="00373D09">
      <w:pPr>
        <w:shd w:val="clear" w:color="auto" w:fill="FFFFFF"/>
        <w:spacing w:after="120" w:line="240" w:lineRule="auto"/>
        <w:jc w:val="center"/>
        <w:rPr>
          <w:rFonts w:asciiTheme="majorBidi" w:eastAsia="Times New Roman" w:hAnsiTheme="majorBidi" w:cstheme="majorBidi"/>
          <w:b/>
          <w:bCs/>
          <w:color w:val="222222"/>
          <w:sz w:val="20"/>
          <w:szCs w:val="20"/>
          <w:lang w:eastAsia="en-GB"/>
        </w:rPr>
      </w:pPr>
      <w:r>
        <w:rPr>
          <w:rFonts w:asciiTheme="majorBidi" w:eastAsia="Times New Roman" w:hAnsiTheme="majorBidi" w:cstheme="majorBidi"/>
          <w:noProof/>
          <w:color w:val="222222"/>
          <w:sz w:val="24"/>
          <w:szCs w:val="24"/>
          <w:lang w:eastAsia="en-GB"/>
        </w:rPr>
        <w:lastRenderedPageBreak/>
        <w:drawing>
          <wp:anchor distT="0" distB="0" distL="114300" distR="114300" simplePos="0" relativeHeight="251662336" behindDoc="0" locked="0" layoutInCell="1" allowOverlap="1" wp14:anchorId="120AED6A" wp14:editId="56DAC811">
            <wp:simplePos x="0" y="0"/>
            <wp:positionH relativeFrom="margin">
              <wp:align>center</wp:align>
            </wp:positionH>
            <wp:positionV relativeFrom="margin">
              <wp:align>top</wp:align>
            </wp:positionV>
            <wp:extent cx="3081867" cy="2667013"/>
            <wp:effectExtent l="19050" t="19050" r="23495" b="19050"/>
            <wp:wrapTopAndBottom/>
            <wp:docPr id="569315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5497"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1867" cy="266701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B51C4">
        <w:rPr>
          <w:rFonts w:asciiTheme="majorBidi" w:eastAsia="Times New Roman" w:hAnsiTheme="majorBidi" w:cstheme="majorBidi"/>
          <w:b/>
          <w:bCs/>
          <w:color w:val="222222"/>
          <w:sz w:val="20"/>
          <w:szCs w:val="20"/>
          <w:lang w:eastAsia="en-GB"/>
        </w:rPr>
        <w:t xml:space="preserve">Figure </w:t>
      </w:r>
      <w:r w:rsidR="00B668FB">
        <w:rPr>
          <w:rFonts w:asciiTheme="majorBidi" w:eastAsia="Times New Roman" w:hAnsiTheme="majorBidi" w:cstheme="majorBidi"/>
          <w:b/>
          <w:bCs/>
          <w:color w:val="222222"/>
          <w:sz w:val="20"/>
          <w:szCs w:val="20"/>
          <w:lang w:eastAsia="en-GB"/>
        </w:rPr>
        <w:t>0</w:t>
      </w:r>
      <w:r w:rsidR="008B51C4">
        <w:rPr>
          <w:rFonts w:asciiTheme="majorBidi" w:eastAsia="Times New Roman" w:hAnsiTheme="majorBidi" w:cstheme="majorBidi"/>
          <w:b/>
          <w:bCs/>
          <w:color w:val="222222"/>
          <w:sz w:val="20"/>
          <w:szCs w:val="20"/>
          <w:lang w:eastAsia="en-GB"/>
        </w:rPr>
        <w:t>3. L’expérience de Bernard Davis (1950)</w:t>
      </w:r>
    </w:p>
    <w:p w14:paraId="107C3018" w14:textId="536E17EC" w:rsidR="002A099D" w:rsidRPr="00984723" w:rsidRDefault="002A099D" w:rsidP="00984723">
      <w:pPr>
        <w:pStyle w:val="ListParagraph"/>
        <w:numPr>
          <w:ilvl w:val="0"/>
          <w:numId w:val="2"/>
        </w:numPr>
        <w:shd w:val="clear" w:color="auto" w:fill="FFFFFF"/>
        <w:spacing w:after="0" w:line="240" w:lineRule="auto"/>
        <w:rPr>
          <w:rFonts w:asciiTheme="majorBidi" w:eastAsia="Times New Roman" w:hAnsiTheme="majorBidi" w:cstheme="majorBidi"/>
          <w:b/>
          <w:bCs/>
          <w:color w:val="222222"/>
          <w:sz w:val="24"/>
          <w:szCs w:val="24"/>
          <w:lang w:eastAsia="en-GB"/>
        </w:rPr>
      </w:pPr>
      <w:r w:rsidRPr="00984723">
        <w:rPr>
          <w:rFonts w:asciiTheme="majorBidi" w:eastAsia="Times New Roman" w:hAnsiTheme="majorBidi" w:cstheme="majorBidi"/>
          <w:b/>
          <w:bCs/>
          <w:color w:val="222222"/>
          <w:sz w:val="24"/>
          <w:szCs w:val="24"/>
          <w:lang w:eastAsia="en-GB"/>
        </w:rPr>
        <w:t>Processus de conjugaison</w:t>
      </w:r>
    </w:p>
    <w:p w14:paraId="55AB3C6F" w14:textId="77777777" w:rsidR="00984723" w:rsidRPr="00984723" w:rsidRDefault="002A099D" w:rsidP="00984723">
      <w:pPr>
        <w:pStyle w:val="ListParagraph"/>
        <w:numPr>
          <w:ilvl w:val="0"/>
          <w:numId w:val="3"/>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984723">
        <w:rPr>
          <w:rFonts w:asciiTheme="majorBidi" w:eastAsia="Times New Roman" w:hAnsiTheme="majorBidi" w:cstheme="majorBidi"/>
          <w:color w:val="222222"/>
          <w:sz w:val="24"/>
          <w:szCs w:val="24"/>
          <w:lang w:eastAsia="en-GB"/>
        </w:rPr>
        <w:t>Facteur F</w:t>
      </w:r>
    </w:p>
    <w:p w14:paraId="633A3FFC" w14:textId="15EB311C"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Le facteur F</w:t>
      </w:r>
      <w:r w:rsidR="00984723">
        <w:rPr>
          <w:rFonts w:asciiTheme="majorBidi" w:eastAsia="Times New Roman" w:hAnsiTheme="majorBidi" w:cstheme="majorBidi"/>
          <w:color w:val="222222"/>
          <w:sz w:val="24"/>
          <w:szCs w:val="24"/>
          <w:lang w:eastAsia="en-GB"/>
        </w:rPr>
        <w:t xml:space="preserve"> </w:t>
      </w:r>
      <w:r w:rsidRPr="002A099D">
        <w:rPr>
          <w:rFonts w:asciiTheme="majorBidi" w:eastAsia="Times New Roman" w:hAnsiTheme="majorBidi" w:cstheme="majorBidi"/>
          <w:color w:val="222222"/>
          <w:sz w:val="24"/>
          <w:szCs w:val="24"/>
          <w:lang w:eastAsia="en-GB"/>
        </w:rPr>
        <w:t xml:space="preserve">(facteur de fertilité) est un plasmide conjugatif </w:t>
      </w:r>
      <w:proofErr w:type="spellStart"/>
      <w:r w:rsidRPr="002A099D">
        <w:rPr>
          <w:rFonts w:asciiTheme="majorBidi" w:eastAsia="Times New Roman" w:hAnsiTheme="majorBidi" w:cstheme="majorBidi"/>
          <w:color w:val="222222"/>
          <w:sz w:val="24"/>
          <w:szCs w:val="24"/>
          <w:lang w:eastAsia="en-GB"/>
        </w:rPr>
        <w:t>épisomal</w:t>
      </w:r>
      <w:proofErr w:type="spellEnd"/>
      <w:r w:rsidRPr="002A099D">
        <w:rPr>
          <w:rFonts w:asciiTheme="majorBidi" w:eastAsia="Times New Roman" w:hAnsiTheme="majorBidi" w:cstheme="majorBidi"/>
          <w:color w:val="222222"/>
          <w:sz w:val="24"/>
          <w:szCs w:val="24"/>
          <w:lang w:eastAsia="en-GB"/>
        </w:rPr>
        <w:t>, identifié comme le premier vecteur de transfert génétique horizontal chez les bactéries. Il code pour un ensemble de gènes essentiels au processus de conjugaison, notamment :</w:t>
      </w:r>
    </w:p>
    <w:p w14:paraId="6BA91503"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 Les gènes impliqués dans la biosynthèse du pilus conjugatif, une structure qui médie l’adhésion spécifique entre une bactérie donneuse, dite F⁺ (porteuse du plasmide), et une bactérie réceptrice, dite F⁻ (dépourvue du plasmide).</w:t>
      </w:r>
    </w:p>
    <w:p w14:paraId="509801DC"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 Les gènes nécessaires à la mobilisation et au transfert de l’ADN d’une cellule à l’autre.</w:t>
      </w:r>
    </w:p>
    <w:p w14:paraId="728C32CE" w14:textId="77777777" w:rsidR="002A099D" w:rsidRPr="00984723" w:rsidRDefault="002A099D" w:rsidP="00984723">
      <w:pPr>
        <w:pStyle w:val="ListParagraph"/>
        <w:numPr>
          <w:ilvl w:val="0"/>
          <w:numId w:val="3"/>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984723">
        <w:rPr>
          <w:rFonts w:asciiTheme="majorBidi" w:eastAsia="Times New Roman" w:hAnsiTheme="majorBidi" w:cstheme="majorBidi"/>
          <w:color w:val="222222"/>
          <w:sz w:val="24"/>
          <w:szCs w:val="24"/>
          <w:lang w:eastAsia="en-GB"/>
        </w:rPr>
        <w:t xml:space="preserve">Bactérie </w:t>
      </w:r>
      <w:proofErr w:type="spellStart"/>
      <w:r w:rsidRPr="00984723">
        <w:rPr>
          <w:rFonts w:asciiTheme="majorBidi" w:eastAsia="Times New Roman" w:hAnsiTheme="majorBidi" w:cstheme="majorBidi"/>
          <w:color w:val="222222"/>
          <w:sz w:val="24"/>
          <w:szCs w:val="24"/>
          <w:lang w:eastAsia="en-GB"/>
        </w:rPr>
        <w:t>Hfr</w:t>
      </w:r>
      <w:proofErr w:type="spellEnd"/>
    </w:p>
    <w:p w14:paraId="0785F988" w14:textId="0F93E3E8"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Le plasmide F possède la capacité de s’intégrer</w:t>
      </w:r>
      <w:r w:rsidR="00984723">
        <w:rPr>
          <w:rFonts w:asciiTheme="majorBidi" w:eastAsia="Times New Roman" w:hAnsiTheme="majorBidi" w:cstheme="majorBidi"/>
          <w:color w:val="222222"/>
          <w:sz w:val="24"/>
          <w:szCs w:val="24"/>
          <w:lang w:eastAsia="en-GB"/>
        </w:rPr>
        <w:t xml:space="preserve"> </w:t>
      </w:r>
      <w:r w:rsidRPr="002A099D">
        <w:rPr>
          <w:rFonts w:asciiTheme="majorBidi" w:eastAsia="Times New Roman" w:hAnsiTheme="majorBidi" w:cstheme="majorBidi"/>
          <w:color w:val="222222"/>
          <w:sz w:val="24"/>
          <w:szCs w:val="24"/>
          <w:lang w:eastAsia="en-GB"/>
        </w:rPr>
        <w:t xml:space="preserve">par </w:t>
      </w:r>
      <w:r w:rsidR="00984723">
        <w:rPr>
          <w:rFonts w:asciiTheme="majorBidi" w:eastAsia="Times New Roman" w:hAnsiTheme="majorBidi" w:cstheme="majorBidi"/>
          <w:color w:val="222222"/>
          <w:sz w:val="24"/>
          <w:szCs w:val="24"/>
          <w:lang w:eastAsia="en-GB"/>
        </w:rPr>
        <w:t>recombinaison</w:t>
      </w:r>
      <w:r w:rsidRPr="002A099D">
        <w:rPr>
          <w:rFonts w:asciiTheme="majorBidi" w:eastAsia="Times New Roman" w:hAnsiTheme="majorBidi" w:cstheme="majorBidi"/>
          <w:color w:val="222222"/>
          <w:sz w:val="24"/>
          <w:szCs w:val="24"/>
          <w:lang w:eastAsia="en-GB"/>
        </w:rPr>
        <w:t xml:space="preserve"> homologue, au chromosome bactérien. Une souche chez laquelle cette intégration a eu lieu est désignée </w:t>
      </w:r>
      <w:proofErr w:type="spellStart"/>
      <w:r w:rsidRPr="002A099D">
        <w:rPr>
          <w:rFonts w:asciiTheme="majorBidi" w:eastAsia="Times New Roman" w:hAnsiTheme="majorBidi" w:cstheme="majorBidi"/>
          <w:color w:val="222222"/>
          <w:sz w:val="24"/>
          <w:szCs w:val="24"/>
          <w:lang w:eastAsia="en-GB"/>
        </w:rPr>
        <w:t>Hfr</w:t>
      </w:r>
      <w:proofErr w:type="spellEnd"/>
      <w:r w:rsidRPr="002A099D">
        <w:rPr>
          <w:rFonts w:asciiTheme="majorBidi" w:eastAsia="Times New Roman" w:hAnsiTheme="majorBidi" w:cstheme="majorBidi"/>
          <w:color w:val="222222"/>
          <w:sz w:val="24"/>
          <w:szCs w:val="24"/>
          <w:lang w:eastAsia="en-GB"/>
        </w:rPr>
        <w:t xml:space="preserve"> (haute fréquence de recombinaison).</w:t>
      </w:r>
    </w:p>
    <w:p w14:paraId="39C29113"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La conjugaison bactérienne est initiée par la synthèse de pili conjugatifs spécifiques par la cellule donneuse. Ces structures protéiques sont codées par des gènes portés exclusivement par le plasmide conjugatif (notamment le facteur F). Par conséquent, seules les bactéries porteuses de ce plasmide, désignées F⁺, peuvent élaborer ces pili.</w:t>
      </w:r>
    </w:p>
    <w:p w14:paraId="73645ED2"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La fonction primaire du pilus sexuel est de médier une adhésion spécifique et stable entre la cellule donneuse (F⁺) et la cellule réceptrice (F⁻), établissant ainsi le contact physique préalable au transfert d’ADN.</w:t>
      </w:r>
    </w:p>
    <w:p w14:paraId="67347193"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 xml:space="preserve">Le processus de transfert proprement dit débute par la </w:t>
      </w:r>
      <w:proofErr w:type="spellStart"/>
      <w:r w:rsidRPr="002A099D">
        <w:rPr>
          <w:rFonts w:asciiTheme="majorBidi" w:eastAsia="Times New Roman" w:hAnsiTheme="majorBidi" w:cstheme="majorBidi"/>
          <w:color w:val="222222"/>
          <w:sz w:val="24"/>
          <w:szCs w:val="24"/>
          <w:lang w:eastAsia="en-GB"/>
        </w:rPr>
        <w:t>nicking</w:t>
      </w:r>
      <w:proofErr w:type="spellEnd"/>
      <w:r w:rsidRPr="002A099D">
        <w:rPr>
          <w:rFonts w:asciiTheme="majorBidi" w:eastAsia="Times New Roman" w:hAnsiTheme="majorBidi" w:cstheme="majorBidi"/>
          <w:color w:val="222222"/>
          <w:sz w:val="24"/>
          <w:szCs w:val="24"/>
          <w:lang w:eastAsia="en-GB"/>
        </w:rPr>
        <w:t xml:space="preserve"> (coupure simple brin) au niveau d’une séquence spécifique appelée origine de transfert (</w:t>
      </w:r>
      <w:proofErr w:type="spellStart"/>
      <w:r w:rsidRPr="002A099D">
        <w:rPr>
          <w:rFonts w:asciiTheme="majorBidi" w:eastAsia="Times New Roman" w:hAnsiTheme="majorBidi" w:cstheme="majorBidi"/>
          <w:color w:val="222222"/>
          <w:sz w:val="24"/>
          <w:szCs w:val="24"/>
          <w:lang w:eastAsia="en-GB"/>
        </w:rPr>
        <w:t>oriT</w:t>
      </w:r>
      <w:proofErr w:type="spellEnd"/>
      <w:r w:rsidRPr="002A099D">
        <w:rPr>
          <w:rFonts w:asciiTheme="majorBidi" w:eastAsia="Times New Roman" w:hAnsiTheme="majorBidi" w:cstheme="majorBidi"/>
          <w:color w:val="222222"/>
          <w:sz w:val="24"/>
          <w:szCs w:val="24"/>
          <w:lang w:eastAsia="en-GB"/>
        </w:rPr>
        <w:t xml:space="preserve">) sur le plasmide. Cette coupure est catalysée par une enzyme, la </w:t>
      </w:r>
      <w:proofErr w:type="spellStart"/>
      <w:r w:rsidRPr="002A099D">
        <w:rPr>
          <w:rFonts w:asciiTheme="majorBidi" w:eastAsia="Times New Roman" w:hAnsiTheme="majorBidi" w:cstheme="majorBidi"/>
          <w:color w:val="222222"/>
          <w:sz w:val="24"/>
          <w:szCs w:val="24"/>
          <w:lang w:eastAsia="en-GB"/>
        </w:rPr>
        <w:t>relaxase</w:t>
      </w:r>
      <w:proofErr w:type="spellEnd"/>
      <w:r w:rsidRPr="002A099D">
        <w:rPr>
          <w:rFonts w:asciiTheme="majorBidi" w:eastAsia="Times New Roman" w:hAnsiTheme="majorBidi" w:cstheme="majorBidi"/>
          <w:color w:val="222222"/>
          <w:sz w:val="24"/>
          <w:szCs w:val="24"/>
          <w:lang w:eastAsia="en-GB"/>
        </w:rPr>
        <w:t xml:space="preserve">, souvent associée à d’autres protéines accessoires </w:t>
      </w:r>
      <w:r w:rsidRPr="002A099D">
        <w:rPr>
          <w:rFonts w:asciiTheme="majorBidi" w:eastAsia="Times New Roman" w:hAnsiTheme="majorBidi" w:cstheme="majorBidi"/>
          <w:color w:val="222222"/>
          <w:sz w:val="24"/>
          <w:szCs w:val="24"/>
          <w:lang w:eastAsia="en-GB"/>
        </w:rPr>
        <w:lastRenderedPageBreak/>
        <w:t xml:space="preserve">pour former un complexe multiprotéique nommé </w:t>
      </w:r>
      <w:proofErr w:type="spellStart"/>
      <w:r w:rsidRPr="002A099D">
        <w:rPr>
          <w:rFonts w:asciiTheme="majorBidi" w:eastAsia="Times New Roman" w:hAnsiTheme="majorBidi" w:cstheme="majorBidi"/>
          <w:color w:val="222222"/>
          <w:sz w:val="24"/>
          <w:szCs w:val="24"/>
          <w:lang w:eastAsia="en-GB"/>
        </w:rPr>
        <w:t>relaxosome</w:t>
      </w:r>
      <w:proofErr w:type="spellEnd"/>
      <w:r w:rsidRPr="002A099D">
        <w:rPr>
          <w:rFonts w:asciiTheme="majorBidi" w:eastAsia="Times New Roman" w:hAnsiTheme="majorBidi" w:cstheme="majorBidi"/>
          <w:color w:val="222222"/>
          <w:sz w:val="24"/>
          <w:szCs w:val="24"/>
          <w:lang w:eastAsia="en-GB"/>
        </w:rPr>
        <w:t xml:space="preserve">. La relaxation de l’ADN </w:t>
      </w:r>
      <w:proofErr w:type="spellStart"/>
      <w:r w:rsidRPr="002A099D">
        <w:rPr>
          <w:rFonts w:asciiTheme="majorBidi" w:eastAsia="Times New Roman" w:hAnsiTheme="majorBidi" w:cstheme="majorBidi"/>
          <w:color w:val="222222"/>
          <w:sz w:val="24"/>
          <w:szCs w:val="24"/>
          <w:lang w:eastAsia="en-GB"/>
        </w:rPr>
        <w:t>superenroulé</w:t>
      </w:r>
      <w:proofErr w:type="spellEnd"/>
      <w:r w:rsidRPr="002A099D">
        <w:rPr>
          <w:rFonts w:asciiTheme="majorBidi" w:eastAsia="Times New Roman" w:hAnsiTheme="majorBidi" w:cstheme="majorBidi"/>
          <w:color w:val="222222"/>
          <w:sz w:val="24"/>
          <w:szCs w:val="24"/>
          <w:lang w:eastAsia="en-GB"/>
        </w:rPr>
        <w:t xml:space="preserve"> et la séparation locale des brins s’ensuivent, généralement avec l’intervention d’une hélicase.</w:t>
      </w:r>
    </w:p>
    <w:p w14:paraId="33A1C81C"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Une fois initié, le brin d’ADN niqué est transféré de manière unidirectionnelle vers la cellule réceptrice selon un mécanisme de réplication en cercle roulant. Ce transfert se poursuit jusqu’à son achèvement théorique ou jusqu’à la rupture prématurée du pont de conjugaison, un événement fréquent.</w:t>
      </w:r>
    </w:p>
    <w:p w14:paraId="2875C2A1" w14:textId="77777777" w:rsidR="002A099D" w:rsidRPr="002A099D" w:rsidRDefault="002A099D" w:rsidP="00984723">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2A099D">
        <w:rPr>
          <w:rFonts w:asciiTheme="majorBidi" w:eastAsia="Times New Roman" w:hAnsiTheme="majorBidi" w:cstheme="majorBidi"/>
          <w:color w:val="222222"/>
          <w:sz w:val="24"/>
          <w:szCs w:val="24"/>
          <w:lang w:eastAsia="en-GB"/>
        </w:rPr>
        <w:t>Après le transfert, la synthèse du brin complémentaire a lieu dans les deux cellules : la cellule donneuse réplique le brin conservé pour régénérer le plasmide double brin, tandis que la cellule réceptrice synthétise le brin complémentaire de l’ADN transféré pour former un plasmide circulaire stable. En conséquence, la bactérie initialement réceptrice (F⁻) acquiert le plasmide F et devient à son tour une cellule F⁺, capable d’initier des conjugaisons ultérieures.</w:t>
      </w:r>
    </w:p>
    <w:p w14:paraId="6E71AE14" w14:textId="028997CF" w:rsidR="002A099D" w:rsidRDefault="002079D6" w:rsidP="00984723">
      <w:pPr>
        <w:shd w:val="clear" w:color="auto" w:fill="FFFFFF"/>
        <w:spacing w:after="240" w:line="360" w:lineRule="auto"/>
        <w:jc w:val="both"/>
        <w:rPr>
          <w:rFonts w:asciiTheme="majorBidi" w:eastAsia="Times New Roman" w:hAnsiTheme="majorBidi" w:cstheme="majorBidi"/>
          <w:color w:val="222222"/>
          <w:sz w:val="24"/>
          <w:szCs w:val="24"/>
          <w:lang w:eastAsia="en-GB"/>
        </w:rPr>
      </w:pPr>
      <w:r>
        <w:rPr>
          <w:rFonts w:asciiTheme="majorBidi" w:eastAsia="Times New Roman" w:hAnsiTheme="majorBidi" w:cstheme="majorBidi"/>
          <w:noProof/>
          <w:color w:val="222222"/>
          <w:sz w:val="24"/>
          <w:szCs w:val="24"/>
          <w:lang w:eastAsia="en-GB"/>
        </w:rPr>
        <w:drawing>
          <wp:anchor distT="0" distB="0" distL="114300" distR="114300" simplePos="0" relativeHeight="251663360" behindDoc="0" locked="0" layoutInCell="1" allowOverlap="1" wp14:anchorId="02B417E0" wp14:editId="0933B4D0">
            <wp:simplePos x="0" y="0"/>
            <wp:positionH relativeFrom="margin">
              <wp:align>center</wp:align>
            </wp:positionH>
            <wp:positionV relativeFrom="margin">
              <wp:posOffset>4223294</wp:posOffset>
            </wp:positionV>
            <wp:extent cx="4452257" cy="4091183"/>
            <wp:effectExtent l="19050" t="19050" r="24765" b="24130"/>
            <wp:wrapTopAndBottom/>
            <wp:docPr id="110080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08790" name="Picture 1100808790"/>
                    <pic:cNvPicPr/>
                  </pic:nvPicPr>
                  <pic:blipFill>
                    <a:blip r:embed="rId11">
                      <a:extLst>
                        <a:ext uri="{28A0092B-C50C-407E-A947-70E740481C1C}">
                          <a14:useLocalDpi xmlns:a14="http://schemas.microsoft.com/office/drawing/2010/main" val="0"/>
                        </a:ext>
                      </a:extLst>
                    </a:blip>
                    <a:stretch>
                      <a:fillRect/>
                    </a:stretch>
                  </pic:blipFill>
                  <pic:spPr>
                    <a:xfrm>
                      <a:off x="0" y="0"/>
                      <a:ext cx="4452257" cy="409118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A099D" w:rsidRPr="002A099D">
        <w:rPr>
          <w:rFonts w:asciiTheme="majorBidi" w:eastAsia="Times New Roman" w:hAnsiTheme="majorBidi" w:cstheme="majorBidi"/>
          <w:color w:val="222222"/>
          <w:sz w:val="24"/>
          <w:szCs w:val="24"/>
          <w:lang w:eastAsia="en-GB"/>
        </w:rPr>
        <w:t>Ce mécanisme représente le principal mode de transfert horizontal pour les plasmides conjugatifs. La capacité d’une bactérie à réaliser ce processus est strictement conditionnée par la possession de tels plasmides, qui hébergent l’ensemble des déterminants génétiques nécessaires à la formation des appareils de mobilité et de transfert.</w:t>
      </w:r>
    </w:p>
    <w:p w14:paraId="2F4D9E66" w14:textId="10C8CA08" w:rsidR="00685D59" w:rsidRDefault="002079D6" w:rsidP="00685D59">
      <w:pPr>
        <w:shd w:val="clear" w:color="auto" w:fill="FFFFFF"/>
        <w:spacing w:after="120" w:line="360" w:lineRule="auto"/>
        <w:jc w:val="center"/>
        <w:rPr>
          <w:rFonts w:asciiTheme="majorBidi" w:eastAsia="Times New Roman" w:hAnsiTheme="majorBidi" w:cstheme="majorBidi"/>
          <w:b/>
          <w:bCs/>
          <w:color w:val="222222"/>
          <w:sz w:val="20"/>
          <w:szCs w:val="20"/>
          <w:lang w:eastAsia="en-GB"/>
        </w:rPr>
      </w:pPr>
      <w:r>
        <w:rPr>
          <w:rFonts w:asciiTheme="majorBidi" w:eastAsia="Times New Roman" w:hAnsiTheme="majorBidi" w:cstheme="majorBidi"/>
          <w:b/>
          <w:bCs/>
          <w:color w:val="222222"/>
          <w:sz w:val="20"/>
          <w:szCs w:val="20"/>
          <w:lang w:eastAsia="en-GB"/>
        </w:rPr>
        <w:t xml:space="preserve">Figure </w:t>
      </w:r>
      <w:r w:rsidR="00B668FB">
        <w:rPr>
          <w:rFonts w:asciiTheme="majorBidi" w:eastAsia="Times New Roman" w:hAnsiTheme="majorBidi" w:cstheme="majorBidi"/>
          <w:b/>
          <w:bCs/>
          <w:color w:val="222222"/>
          <w:sz w:val="20"/>
          <w:szCs w:val="20"/>
          <w:lang w:eastAsia="en-GB"/>
        </w:rPr>
        <w:t>0</w:t>
      </w:r>
      <w:r w:rsidR="00685D59">
        <w:rPr>
          <w:rFonts w:asciiTheme="majorBidi" w:eastAsia="Times New Roman" w:hAnsiTheme="majorBidi" w:cstheme="majorBidi"/>
          <w:b/>
          <w:bCs/>
          <w:color w:val="222222"/>
          <w:sz w:val="20"/>
          <w:szCs w:val="20"/>
          <w:lang w:eastAsia="en-GB"/>
        </w:rPr>
        <w:t>4. Schéma du mécanisme de conjugaison bactérienne médié par le plasmide F</w:t>
      </w:r>
    </w:p>
    <w:p w14:paraId="31E2AD63" w14:textId="77777777" w:rsidR="00685D59" w:rsidRDefault="00685D59" w:rsidP="00685D59">
      <w:pPr>
        <w:shd w:val="clear" w:color="auto" w:fill="FFFFFF"/>
        <w:spacing w:after="120" w:line="360" w:lineRule="auto"/>
        <w:rPr>
          <w:rFonts w:asciiTheme="majorBidi" w:eastAsia="Times New Roman" w:hAnsiTheme="majorBidi" w:cstheme="majorBidi"/>
          <w:color w:val="222222"/>
          <w:sz w:val="24"/>
          <w:szCs w:val="24"/>
          <w:lang w:eastAsia="en-GB"/>
        </w:rPr>
      </w:pPr>
    </w:p>
    <w:p w14:paraId="3413A313" w14:textId="1460546C" w:rsidR="00685D59" w:rsidRPr="00685D59" w:rsidRDefault="00685D59" w:rsidP="00685D59">
      <w:pPr>
        <w:pStyle w:val="ListParagraph"/>
        <w:numPr>
          <w:ilvl w:val="0"/>
          <w:numId w:val="2"/>
        </w:numPr>
        <w:spacing w:after="0" w:line="360" w:lineRule="auto"/>
        <w:jc w:val="both"/>
        <w:rPr>
          <w:rFonts w:asciiTheme="majorBidi" w:eastAsia="Times New Roman" w:hAnsiTheme="majorBidi" w:cstheme="majorBidi"/>
          <w:b/>
          <w:bCs/>
          <w:sz w:val="24"/>
          <w:szCs w:val="24"/>
          <w:lang w:eastAsia="en-GB"/>
        </w:rPr>
      </w:pPr>
      <w:r w:rsidRPr="00685D59">
        <w:rPr>
          <w:rFonts w:asciiTheme="majorBidi" w:eastAsia="Times New Roman" w:hAnsiTheme="majorBidi" w:cstheme="majorBidi"/>
          <w:b/>
          <w:bCs/>
          <w:color w:val="222222"/>
          <w:sz w:val="24"/>
          <w:szCs w:val="24"/>
          <w:shd w:val="clear" w:color="auto" w:fill="FFFFFF"/>
          <w:lang w:eastAsia="en-GB"/>
        </w:rPr>
        <w:lastRenderedPageBreak/>
        <w:t>Mécanisme de la conjugaison bactérienne chez les bactéries à Gram négatif</w:t>
      </w:r>
    </w:p>
    <w:p w14:paraId="7063E6D1"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b/>
          <w:bCs/>
          <w:color w:val="222222"/>
          <w:sz w:val="24"/>
          <w:szCs w:val="24"/>
          <w:lang w:eastAsia="en-GB"/>
        </w:rPr>
        <w:t>Modèle</w:t>
      </w:r>
      <w:r w:rsidRPr="00685D59">
        <w:rPr>
          <w:rFonts w:asciiTheme="majorBidi" w:eastAsia="Times New Roman" w:hAnsiTheme="majorBidi" w:cstheme="majorBidi"/>
          <w:color w:val="222222"/>
          <w:sz w:val="24"/>
          <w:szCs w:val="24"/>
          <w:lang w:eastAsia="en-GB"/>
        </w:rPr>
        <w:t xml:space="preserve"> : </w:t>
      </w:r>
      <w:r w:rsidRPr="00685D59">
        <w:rPr>
          <w:rFonts w:asciiTheme="majorBidi" w:eastAsia="Times New Roman" w:hAnsiTheme="majorBidi" w:cstheme="majorBidi"/>
          <w:i/>
          <w:iCs/>
          <w:color w:val="222222"/>
          <w:sz w:val="24"/>
          <w:szCs w:val="24"/>
          <w:lang w:eastAsia="en-GB"/>
        </w:rPr>
        <w:t>Escherichia</w:t>
      </w:r>
      <w:r w:rsidRPr="00685D59">
        <w:rPr>
          <w:rFonts w:asciiTheme="majorBidi" w:eastAsia="Times New Roman" w:hAnsiTheme="majorBidi" w:cstheme="majorBidi"/>
          <w:color w:val="222222"/>
          <w:sz w:val="24"/>
          <w:szCs w:val="24"/>
          <w:lang w:eastAsia="en-GB"/>
        </w:rPr>
        <w:t xml:space="preserve"> </w:t>
      </w:r>
      <w:r w:rsidRPr="00685D59">
        <w:rPr>
          <w:rFonts w:asciiTheme="majorBidi" w:eastAsia="Times New Roman" w:hAnsiTheme="majorBidi" w:cstheme="majorBidi"/>
          <w:i/>
          <w:iCs/>
          <w:color w:val="222222"/>
          <w:sz w:val="24"/>
          <w:szCs w:val="24"/>
          <w:lang w:eastAsia="en-GB"/>
        </w:rPr>
        <w:t>coli</w:t>
      </w:r>
      <w:r w:rsidRPr="00685D59">
        <w:rPr>
          <w:rFonts w:asciiTheme="majorBidi" w:eastAsia="Times New Roman" w:hAnsiTheme="majorBidi" w:cstheme="majorBidi"/>
          <w:color w:val="222222"/>
          <w:sz w:val="24"/>
          <w:szCs w:val="24"/>
          <w:lang w:eastAsia="en-GB"/>
        </w:rPr>
        <w:t xml:space="preserve"> F⁺ / F⁻</w:t>
      </w:r>
    </w:p>
    <w:p w14:paraId="439AD4BD" w14:textId="42D63189" w:rsidR="00685D59" w:rsidRPr="00685D59" w:rsidRDefault="00685D59" w:rsidP="00685D59">
      <w:pPr>
        <w:pStyle w:val="ListParagraph"/>
        <w:numPr>
          <w:ilvl w:val="0"/>
          <w:numId w:val="4"/>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Reconnaissance et établissement du contact cellulaire</w:t>
      </w:r>
    </w:p>
    <w:p w14:paraId="25B9E447"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La conjugaison débute par l’interaction spécifique entre une cellule donneuse F⁺ et une cellule receveuse F⁻. La cellule F⁺ porte le plasmide de fertilité F, lequel code un ensemble de gènes tra responsables de la formation du pilus sexuel.</w:t>
      </w:r>
    </w:p>
    <w:p w14:paraId="67772F50"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 xml:space="preserve">Le pilus sexuel est une structure protéique filamenteuse composée principalement de la </w:t>
      </w:r>
      <w:proofErr w:type="spellStart"/>
      <w:r w:rsidRPr="00685D59">
        <w:rPr>
          <w:rFonts w:asciiTheme="majorBidi" w:eastAsia="Times New Roman" w:hAnsiTheme="majorBidi" w:cstheme="majorBidi"/>
          <w:color w:val="222222"/>
          <w:sz w:val="24"/>
          <w:szCs w:val="24"/>
          <w:lang w:eastAsia="en-GB"/>
        </w:rPr>
        <w:t>piline</w:t>
      </w:r>
      <w:proofErr w:type="spellEnd"/>
      <w:r w:rsidRPr="00685D59">
        <w:rPr>
          <w:rFonts w:asciiTheme="majorBidi" w:eastAsia="Times New Roman" w:hAnsiTheme="majorBidi" w:cstheme="majorBidi"/>
          <w:color w:val="222222"/>
          <w:sz w:val="24"/>
          <w:szCs w:val="24"/>
          <w:lang w:eastAsia="en-GB"/>
        </w:rPr>
        <w:t xml:space="preserve"> </w:t>
      </w:r>
      <w:proofErr w:type="spellStart"/>
      <w:r w:rsidRPr="00685D59">
        <w:rPr>
          <w:rFonts w:asciiTheme="majorBidi" w:eastAsia="Times New Roman" w:hAnsiTheme="majorBidi" w:cstheme="majorBidi"/>
          <w:color w:val="222222"/>
          <w:sz w:val="24"/>
          <w:szCs w:val="24"/>
          <w:lang w:eastAsia="en-GB"/>
        </w:rPr>
        <w:t>TraA</w:t>
      </w:r>
      <w:proofErr w:type="spellEnd"/>
      <w:r w:rsidRPr="00685D59">
        <w:rPr>
          <w:rFonts w:asciiTheme="majorBidi" w:eastAsia="Times New Roman" w:hAnsiTheme="majorBidi" w:cstheme="majorBidi"/>
          <w:color w:val="222222"/>
          <w:sz w:val="24"/>
          <w:szCs w:val="24"/>
          <w:lang w:eastAsia="en-GB"/>
        </w:rPr>
        <w:t>. Il s’allonge à partir de la membrane externe de la cellule donneuse, reconnaît la surface de la cellule receveuse et se rétracte, rapprochant ainsi les deux bactéries et permettant l’établissement d’un contact cellulaire étroit.</w:t>
      </w:r>
    </w:p>
    <w:p w14:paraId="71ACCD25" w14:textId="58271C53" w:rsidR="00685D59" w:rsidRPr="00EB35C8" w:rsidRDefault="00685D59" w:rsidP="00EB35C8">
      <w:pPr>
        <w:pStyle w:val="ListParagraph"/>
        <w:numPr>
          <w:ilvl w:val="0"/>
          <w:numId w:val="4"/>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EB35C8">
        <w:rPr>
          <w:rFonts w:asciiTheme="majorBidi" w:eastAsia="Times New Roman" w:hAnsiTheme="majorBidi" w:cstheme="majorBidi"/>
          <w:color w:val="222222"/>
          <w:sz w:val="24"/>
          <w:szCs w:val="24"/>
          <w:lang w:eastAsia="en-GB"/>
        </w:rPr>
        <w:t>Formation du complexe de conjugaison et du canal de transfert</w:t>
      </w:r>
    </w:p>
    <w:p w14:paraId="7414D31A"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Une fois le contact établi, les membranes des deux cellules sont rapprochées et un complexe de conjugaison se met en place. Les protéines Tra forment un système de sécrétion de type IV (T4SS), qui traverse l’enveloppe cellulaire de la bactérie donneuse et constitue un canal de transfert reliant les deux cytoplasmes.</w:t>
      </w:r>
    </w:p>
    <w:p w14:paraId="5DF38C92"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Ce système est fonctionnellement apparenté aux T4SS impliqués dans d’autres mécanismes de transfert d’ADN et de protéines chez les bactéries.</w:t>
      </w:r>
    </w:p>
    <w:p w14:paraId="287DDF10" w14:textId="68A40716" w:rsidR="00685D59" w:rsidRPr="00EB35C8" w:rsidRDefault="00685D59" w:rsidP="00EB35C8">
      <w:pPr>
        <w:pStyle w:val="ListParagraph"/>
        <w:numPr>
          <w:ilvl w:val="0"/>
          <w:numId w:val="4"/>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EB35C8">
        <w:rPr>
          <w:rFonts w:asciiTheme="majorBidi" w:eastAsia="Times New Roman" w:hAnsiTheme="majorBidi" w:cstheme="majorBidi"/>
          <w:color w:val="222222"/>
          <w:sz w:val="24"/>
          <w:szCs w:val="24"/>
          <w:lang w:eastAsia="en-GB"/>
        </w:rPr>
        <w:t>Initiation du transfert : clivage de l’ADN plasmidique</w:t>
      </w:r>
    </w:p>
    <w:p w14:paraId="4978B542"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Le transfert de l’ADN débute au niveau de l’origine de transfert (</w:t>
      </w:r>
      <w:proofErr w:type="spellStart"/>
      <w:r w:rsidRPr="00685D59">
        <w:rPr>
          <w:rFonts w:asciiTheme="majorBidi" w:eastAsia="Times New Roman" w:hAnsiTheme="majorBidi" w:cstheme="majorBidi"/>
          <w:color w:val="222222"/>
          <w:sz w:val="24"/>
          <w:szCs w:val="24"/>
          <w:lang w:eastAsia="en-GB"/>
        </w:rPr>
        <w:t>oriT</w:t>
      </w:r>
      <w:proofErr w:type="spellEnd"/>
      <w:r w:rsidRPr="00685D59">
        <w:rPr>
          <w:rFonts w:asciiTheme="majorBidi" w:eastAsia="Times New Roman" w:hAnsiTheme="majorBidi" w:cstheme="majorBidi"/>
          <w:color w:val="222222"/>
          <w:sz w:val="24"/>
          <w:szCs w:val="24"/>
          <w:lang w:eastAsia="en-GB"/>
        </w:rPr>
        <w:t xml:space="preserve">) du plasmide F. Une endonucléase spécifique, appelée </w:t>
      </w:r>
      <w:proofErr w:type="spellStart"/>
      <w:r w:rsidRPr="00685D59">
        <w:rPr>
          <w:rFonts w:asciiTheme="majorBidi" w:eastAsia="Times New Roman" w:hAnsiTheme="majorBidi" w:cstheme="majorBidi"/>
          <w:color w:val="222222"/>
          <w:sz w:val="24"/>
          <w:szCs w:val="24"/>
          <w:lang w:eastAsia="en-GB"/>
        </w:rPr>
        <w:t>relaxase</w:t>
      </w:r>
      <w:proofErr w:type="spellEnd"/>
      <w:r w:rsidRPr="00685D59">
        <w:rPr>
          <w:rFonts w:asciiTheme="majorBidi" w:eastAsia="Times New Roman" w:hAnsiTheme="majorBidi" w:cstheme="majorBidi"/>
          <w:color w:val="222222"/>
          <w:sz w:val="24"/>
          <w:szCs w:val="24"/>
          <w:lang w:eastAsia="en-GB"/>
        </w:rPr>
        <w:t xml:space="preserve"> </w:t>
      </w:r>
      <w:proofErr w:type="spellStart"/>
      <w:r w:rsidRPr="00685D59">
        <w:rPr>
          <w:rFonts w:asciiTheme="majorBidi" w:eastAsia="Times New Roman" w:hAnsiTheme="majorBidi" w:cstheme="majorBidi"/>
          <w:color w:val="222222"/>
          <w:sz w:val="24"/>
          <w:szCs w:val="24"/>
          <w:lang w:eastAsia="en-GB"/>
        </w:rPr>
        <w:t>TraI</w:t>
      </w:r>
      <w:proofErr w:type="spellEnd"/>
      <w:r w:rsidRPr="00685D59">
        <w:rPr>
          <w:rFonts w:asciiTheme="majorBidi" w:eastAsia="Times New Roman" w:hAnsiTheme="majorBidi" w:cstheme="majorBidi"/>
          <w:color w:val="222222"/>
          <w:sz w:val="24"/>
          <w:szCs w:val="24"/>
          <w:lang w:eastAsia="en-GB"/>
        </w:rPr>
        <w:t xml:space="preserve">, reconnaît la séquence </w:t>
      </w:r>
      <w:proofErr w:type="spellStart"/>
      <w:r w:rsidRPr="00685D59">
        <w:rPr>
          <w:rFonts w:asciiTheme="majorBidi" w:eastAsia="Times New Roman" w:hAnsiTheme="majorBidi" w:cstheme="majorBidi"/>
          <w:color w:val="222222"/>
          <w:sz w:val="24"/>
          <w:szCs w:val="24"/>
          <w:lang w:eastAsia="en-GB"/>
        </w:rPr>
        <w:t>oriT</w:t>
      </w:r>
      <w:proofErr w:type="spellEnd"/>
      <w:r w:rsidRPr="00685D59">
        <w:rPr>
          <w:rFonts w:asciiTheme="majorBidi" w:eastAsia="Times New Roman" w:hAnsiTheme="majorBidi" w:cstheme="majorBidi"/>
          <w:color w:val="222222"/>
          <w:sz w:val="24"/>
          <w:szCs w:val="24"/>
          <w:lang w:eastAsia="en-GB"/>
        </w:rPr>
        <w:t xml:space="preserve"> et effectue une coupure monocaténaire au site </w:t>
      </w:r>
      <w:proofErr w:type="spellStart"/>
      <w:r w:rsidRPr="00685D59">
        <w:rPr>
          <w:rFonts w:asciiTheme="majorBidi" w:eastAsia="Times New Roman" w:hAnsiTheme="majorBidi" w:cstheme="majorBidi"/>
          <w:color w:val="222222"/>
          <w:sz w:val="24"/>
          <w:szCs w:val="24"/>
          <w:lang w:eastAsia="en-GB"/>
        </w:rPr>
        <w:t>nic</w:t>
      </w:r>
      <w:proofErr w:type="spellEnd"/>
      <w:r w:rsidRPr="00685D59">
        <w:rPr>
          <w:rFonts w:asciiTheme="majorBidi" w:eastAsia="Times New Roman" w:hAnsiTheme="majorBidi" w:cstheme="majorBidi"/>
          <w:color w:val="222222"/>
          <w:sz w:val="24"/>
          <w:szCs w:val="24"/>
          <w:lang w:eastAsia="en-GB"/>
        </w:rPr>
        <w:t>.</w:t>
      </w:r>
    </w:p>
    <w:p w14:paraId="36CE7E84"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proofErr w:type="spellStart"/>
      <w:r w:rsidRPr="00685D59">
        <w:rPr>
          <w:rFonts w:asciiTheme="majorBidi" w:eastAsia="Times New Roman" w:hAnsiTheme="majorBidi" w:cstheme="majorBidi"/>
          <w:color w:val="222222"/>
          <w:sz w:val="24"/>
          <w:szCs w:val="24"/>
          <w:lang w:eastAsia="en-GB"/>
        </w:rPr>
        <w:t>TraI</w:t>
      </w:r>
      <w:proofErr w:type="spellEnd"/>
      <w:r w:rsidRPr="00685D59">
        <w:rPr>
          <w:rFonts w:asciiTheme="majorBidi" w:eastAsia="Times New Roman" w:hAnsiTheme="majorBidi" w:cstheme="majorBidi"/>
          <w:color w:val="222222"/>
          <w:sz w:val="24"/>
          <w:szCs w:val="24"/>
          <w:lang w:eastAsia="en-GB"/>
        </w:rPr>
        <w:t xml:space="preserve"> reste liée de manière covalente à l’extrémité 5′ du brin d’ADN clivé, formant un complexe nucléoprotéique essentiel à l’initiation et à la directionnalité du transfert.</w:t>
      </w:r>
    </w:p>
    <w:p w14:paraId="4B6BC469" w14:textId="0F119148" w:rsidR="00685D59" w:rsidRPr="00EB35C8" w:rsidRDefault="00685D59" w:rsidP="00EB35C8">
      <w:pPr>
        <w:pStyle w:val="ListParagraph"/>
        <w:numPr>
          <w:ilvl w:val="0"/>
          <w:numId w:val="4"/>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EB35C8">
        <w:rPr>
          <w:rFonts w:asciiTheme="majorBidi" w:eastAsia="Times New Roman" w:hAnsiTheme="majorBidi" w:cstheme="majorBidi"/>
          <w:color w:val="222222"/>
          <w:sz w:val="24"/>
          <w:szCs w:val="24"/>
          <w:lang w:eastAsia="en-GB"/>
        </w:rPr>
        <w:t>Translocation du brin d’ADN vers la cellule receveuse</w:t>
      </w:r>
    </w:p>
    <w:p w14:paraId="340C90DA"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Le brin d’ADN simple brin est ensuite transféré de manière unidirectionnelle, de la cellule donneuse vers la cellule receveuse, à travers le canal de conjugaison.</w:t>
      </w:r>
    </w:p>
    <w:p w14:paraId="611DCCDE"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 xml:space="preserve">La translocation est un processus actif, dépendant de l’hydrolyse de l’ATP, impliquant notamment les protéines </w:t>
      </w:r>
      <w:proofErr w:type="spellStart"/>
      <w:r w:rsidRPr="00685D59">
        <w:rPr>
          <w:rFonts w:asciiTheme="majorBidi" w:eastAsia="Times New Roman" w:hAnsiTheme="majorBidi" w:cstheme="majorBidi"/>
          <w:color w:val="222222"/>
          <w:sz w:val="24"/>
          <w:szCs w:val="24"/>
          <w:lang w:eastAsia="en-GB"/>
        </w:rPr>
        <w:t>TraD</w:t>
      </w:r>
      <w:proofErr w:type="spellEnd"/>
      <w:r w:rsidRPr="00685D59">
        <w:rPr>
          <w:rFonts w:asciiTheme="majorBidi" w:eastAsia="Times New Roman" w:hAnsiTheme="majorBidi" w:cstheme="majorBidi"/>
          <w:color w:val="222222"/>
          <w:sz w:val="24"/>
          <w:szCs w:val="24"/>
          <w:lang w:eastAsia="en-GB"/>
        </w:rPr>
        <w:t xml:space="preserve"> (protéine de couplage), </w:t>
      </w:r>
      <w:proofErr w:type="spellStart"/>
      <w:r w:rsidRPr="00685D59">
        <w:rPr>
          <w:rFonts w:asciiTheme="majorBidi" w:eastAsia="Times New Roman" w:hAnsiTheme="majorBidi" w:cstheme="majorBidi"/>
          <w:color w:val="222222"/>
          <w:sz w:val="24"/>
          <w:szCs w:val="24"/>
          <w:lang w:eastAsia="en-GB"/>
        </w:rPr>
        <w:t>TraC</w:t>
      </w:r>
      <w:proofErr w:type="spellEnd"/>
      <w:r w:rsidRPr="00685D59">
        <w:rPr>
          <w:rFonts w:asciiTheme="majorBidi" w:eastAsia="Times New Roman" w:hAnsiTheme="majorBidi" w:cstheme="majorBidi"/>
          <w:color w:val="222222"/>
          <w:sz w:val="24"/>
          <w:szCs w:val="24"/>
          <w:lang w:eastAsia="en-GB"/>
        </w:rPr>
        <w:t xml:space="preserve"> et d’autres composants du T4SS.</w:t>
      </w:r>
    </w:p>
    <w:p w14:paraId="4F49486C"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Le transfert s’effectue selon une polarité 5′ → 3′, assurant une transmission efficace et orientée de l’information génétique.</w:t>
      </w:r>
    </w:p>
    <w:p w14:paraId="59EDB1AE" w14:textId="10CA2EF0" w:rsidR="00685D59" w:rsidRPr="00EB35C8" w:rsidRDefault="00685D59" w:rsidP="00EB35C8">
      <w:pPr>
        <w:pStyle w:val="ListParagraph"/>
        <w:numPr>
          <w:ilvl w:val="0"/>
          <w:numId w:val="4"/>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EB35C8">
        <w:rPr>
          <w:rFonts w:asciiTheme="majorBidi" w:eastAsia="Times New Roman" w:hAnsiTheme="majorBidi" w:cstheme="majorBidi"/>
          <w:color w:val="222222"/>
          <w:sz w:val="24"/>
          <w:szCs w:val="24"/>
          <w:lang w:eastAsia="en-GB"/>
        </w:rPr>
        <w:t>Réplication simultanée dans les deux cellules</w:t>
      </w:r>
    </w:p>
    <w:p w14:paraId="68A1D461"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Pendant le transfert, la cellule donneuse régénère le brin d’ADN manquant par un mécanisme de réplication de type cercle roulant, garantissant la conservation du plasmide F.</w:t>
      </w:r>
    </w:p>
    <w:p w14:paraId="235D8354"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lastRenderedPageBreak/>
        <w:t>Dans la cellule receveuse, le brin simple transféré sert de matrice pour la synthèse du brin complémentaire, conduisant à la formation d’un plasmide F double brin fonctionnel.</w:t>
      </w:r>
    </w:p>
    <w:p w14:paraId="40E2305B" w14:textId="7B2719AA" w:rsidR="00685D59" w:rsidRPr="00EB35C8" w:rsidRDefault="00685D59" w:rsidP="00EB35C8">
      <w:pPr>
        <w:pStyle w:val="ListParagraph"/>
        <w:numPr>
          <w:ilvl w:val="0"/>
          <w:numId w:val="4"/>
        </w:numPr>
        <w:shd w:val="clear" w:color="auto" w:fill="FFFFFF"/>
        <w:spacing w:after="0" w:line="360" w:lineRule="auto"/>
        <w:jc w:val="both"/>
        <w:rPr>
          <w:rFonts w:asciiTheme="majorBidi" w:eastAsia="Times New Roman" w:hAnsiTheme="majorBidi" w:cstheme="majorBidi"/>
          <w:color w:val="222222"/>
          <w:sz w:val="24"/>
          <w:szCs w:val="24"/>
          <w:lang w:eastAsia="en-GB"/>
        </w:rPr>
      </w:pPr>
      <w:r w:rsidRPr="00EB35C8">
        <w:rPr>
          <w:rFonts w:asciiTheme="majorBidi" w:eastAsia="Times New Roman" w:hAnsiTheme="majorBidi" w:cstheme="majorBidi"/>
          <w:color w:val="222222"/>
          <w:sz w:val="24"/>
          <w:szCs w:val="24"/>
          <w:lang w:eastAsia="en-GB"/>
        </w:rPr>
        <w:t>Terminaison du transfert et acquisition du phénotype F⁺</w:t>
      </w:r>
    </w:p>
    <w:p w14:paraId="236BAC24" w14:textId="77777777" w:rsidR="00685D59" w:rsidRPr="00685D59" w:rsidRDefault="00685D59"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685D59">
        <w:rPr>
          <w:rFonts w:asciiTheme="majorBidi" w:eastAsia="Times New Roman" w:hAnsiTheme="majorBidi" w:cstheme="majorBidi"/>
          <w:color w:val="222222"/>
          <w:sz w:val="24"/>
          <w:szCs w:val="24"/>
          <w:lang w:eastAsia="en-GB"/>
        </w:rPr>
        <w:t>Une fois le transfert complété, les deux cellules se dissocient. La cellule receveuse, désormais porteuse du plasmide F, acquiert le phénotype F⁺ et devient à son tour capable d’initier des événements de conjugaison avec d’autres bactéries F⁻.</w:t>
      </w:r>
    </w:p>
    <w:p w14:paraId="1B0B2731" w14:textId="03E3D38B" w:rsidR="00984723" w:rsidRDefault="00B668FB" w:rsidP="00685D59">
      <w:pPr>
        <w:shd w:val="clear" w:color="auto" w:fill="FFFFFF"/>
        <w:spacing w:after="0" w:line="360" w:lineRule="auto"/>
        <w:jc w:val="both"/>
        <w:rPr>
          <w:rFonts w:asciiTheme="majorBidi" w:eastAsia="Times New Roman" w:hAnsiTheme="majorBidi" w:cstheme="majorBidi"/>
          <w:color w:val="222222"/>
          <w:sz w:val="24"/>
          <w:szCs w:val="24"/>
          <w:lang w:eastAsia="en-GB"/>
        </w:rPr>
      </w:pPr>
      <w:r>
        <w:rPr>
          <w:rFonts w:asciiTheme="majorBidi" w:eastAsia="Times New Roman" w:hAnsiTheme="majorBidi" w:cstheme="majorBidi"/>
          <w:noProof/>
          <w:color w:val="222222"/>
          <w:sz w:val="24"/>
          <w:szCs w:val="24"/>
          <w:lang w:eastAsia="en-GB"/>
        </w:rPr>
        <w:drawing>
          <wp:anchor distT="0" distB="0" distL="114300" distR="114300" simplePos="0" relativeHeight="251664384" behindDoc="0" locked="0" layoutInCell="1" allowOverlap="1" wp14:anchorId="1A1C6421" wp14:editId="0C5D2FB5">
            <wp:simplePos x="0" y="0"/>
            <wp:positionH relativeFrom="margin">
              <wp:align>center</wp:align>
            </wp:positionH>
            <wp:positionV relativeFrom="page">
              <wp:posOffset>3009900</wp:posOffset>
            </wp:positionV>
            <wp:extent cx="4076700" cy="2421396"/>
            <wp:effectExtent l="0" t="0" r="0" b="0"/>
            <wp:wrapTopAndBottom/>
            <wp:docPr id="419441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1630" name="Picture 419441630"/>
                    <pic:cNvPicPr/>
                  </pic:nvPicPr>
                  <pic:blipFill>
                    <a:blip r:embed="rId12">
                      <a:extLst>
                        <a:ext uri="{28A0092B-C50C-407E-A947-70E740481C1C}">
                          <a14:useLocalDpi xmlns:a14="http://schemas.microsoft.com/office/drawing/2010/main" val="0"/>
                        </a:ext>
                      </a:extLst>
                    </a:blip>
                    <a:stretch>
                      <a:fillRect/>
                    </a:stretch>
                  </pic:blipFill>
                  <pic:spPr>
                    <a:xfrm>
                      <a:off x="0" y="0"/>
                      <a:ext cx="4076700" cy="2421396"/>
                    </a:xfrm>
                    <a:prstGeom prst="rect">
                      <a:avLst/>
                    </a:prstGeom>
                  </pic:spPr>
                </pic:pic>
              </a:graphicData>
            </a:graphic>
            <wp14:sizeRelH relativeFrom="margin">
              <wp14:pctWidth>0</wp14:pctWidth>
            </wp14:sizeRelH>
            <wp14:sizeRelV relativeFrom="margin">
              <wp14:pctHeight>0</wp14:pctHeight>
            </wp14:sizeRelV>
          </wp:anchor>
        </w:drawing>
      </w:r>
      <w:r w:rsidR="00685D59" w:rsidRPr="00685D59">
        <w:rPr>
          <w:rFonts w:asciiTheme="majorBidi" w:eastAsia="Times New Roman" w:hAnsiTheme="majorBidi" w:cstheme="majorBidi"/>
          <w:color w:val="222222"/>
          <w:sz w:val="24"/>
          <w:szCs w:val="24"/>
          <w:lang w:eastAsia="en-GB"/>
        </w:rPr>
        <w:t>Ce mécanisme favorise une diffusion rapide et efficace des plasmides conjugatifs au sein des populations bactériennes.</w:t>
      </w:r>
    </w:p>
    <w:p w14:paraId="7FC825CC" w14:textId="423BF23C" w:rsidR="00EB35C8" w:rsidRDefault="00B668FB" w:rsidP="0088131B">
      <w:pPr>
        <w:shd w:val="clear" w:color="auto" w:fill="FFFFFF"/>
        <w:spacing w:after="120" w:line="360" w:lineRule="auto"/>
        <w:jc w:val="center"/>
        <w:rPr>
          <w:rFonts w:asciiTheme="majorBidi" w:eastAsia="Times New Roman" w:hAnsiTheme="majorBidi" w:cstheme="majorBidi"/>
          <w:b/>
          <w:bCs/>
          <w:color w:val="222222"/>
          <w:sz w:val="20"/>
          <w:szCs w:val="20"/>
          <w:lang w:eastAsia="en-GB"/>
        </w:rPr>
      </w:pPr>
      <w:r>
        <w:rPr>
          <w:rFonts w:asciiTheme="majorBidi" w:eastAsia="Times New Roman" w:hAnsiTheme="majorBidi" w:cstheme="majorBidi"/>
          <w:b/>
          <w:bCs/>
          <w:color w:val="222222"/>
          <w:sz w:val="20"/>
          <w:szCs w:val="20"/>
          <w:lang w:eastAsia="en-GB"/>
        </w:rPr>
        <w:t xml:space="preserve">Figure 05. Observation microscopique de la conjugaison bactérienne chez </w:t>
      </w:r>
      <w:r>
        <w:rPr>
          <w:rFonts w:asciiTheme="majorBidi" w:eastAsia="Times New Roman" w:hAnsiTheme="majorBidi" w:cstheme="majorBidi"/>
          <w:b/>
          <w:bCs/>
          <w:i/>
          <w:iCs/>
          <w:color w:val="222222"/>
          <w:sz w:val="20"/>
          <w:szCs w:val="20"/>
          <w:lang w:eastAsia="en-GB"/>
        </w:rPr>
        <w:t xml:space="preserve">Escherichia coli </w:t>
      </w:r>
      <w:r>
        <w:rPr>
          <w:rFonts w:asciiTheme="majorBidi" w:eastAsia="Times New Roman" w:hAnsiTheme="majorBidi" w:cstheme="majorBidi"/>
          <w:b/>
          <w:bCs/>
          <w:color w:val="222222"/>
          <w:sz w:val="20"/>
          <w:szCs w:val="20"/>
          <w:lang w:eastAsia="en-GB"/>
        </w:rPr>
        <w:t>via le pilus sexuel</w:t>
      </w:r>
    </w:p>
    <w:p w14:paraId="525F75D8" w14:textId="2E7CB182" w:rsidR="0088131B" w:rsidRPr="0088131B" w:rsidRDefault="0088131B" w:rsidP="0088131B">
      <w:pPr>
        <w:shd w:val="clear" w:color="auto" w:fill="FFFFFF"/>
        <w:spacing w:after="0" w:line="360" w:lineRule="auto"/>
        <w:jc w:val="both"/>
        <w:rPr>
          <w:rFonts w:asciiTheme="majorBidi" w:eastAsia="Times New Roman" w:hAnsiTheme="majorBidi" w:cstheme="majorBidi"/>
          <w:b/>
          <w:bCs/>
          <w:color w:val="222222"/>
          <w:sz w:val="26"/>
          <w:szCs w:val="26"/>
          <w:lang w:eastAsia="en-GB"/>
        </w:rPr>
      </w:pPr>
      <w:r>
        <w:rPr>
          <w:rFonts w:asciiTheme="majorBidi" w:eastAsia="Times New Roman" w:hAnsiTheme="majorBidi" w:cstheme="majorBidi"/>
          <w:b/>
          <w:bCs/>
          <w:color w:val="222222"/>
          <w:sz w:val="26"/>
          <w:szCs w:val="26"/>
          <w:lang w:eastAsia="en-GB"/>
        </w:rPr>
        <w:t>Conclusion</w:t>
      </w:r>
    </w:p>
    <w:p w14:paraId="5097AFB4" w14:textId="38669499" w:rsidR="0088131B" w:rsidRPr="0088131B" w:rsidRDefault="0088131B" w:rsidP="0088131B">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88131B">
        <w:rPr>
          <w:rFonts w:asciiTheme="majorBidi" w:eastAsia="Times New Roman" w:hAnsiTheme="majorBidi" w:cstheme="majorBidi"/>
          <w:color w:val="222222"/>
          <w:sz w:val="24"/>
          <w:szCs w:val="24"/>
          <w:lang w:eastAsia="en-GB"/>
        </w:rPr>
        <w:t>La conjugaison bactérienne constitue un mécanisme fondamental de transfert horizontal de gènes, exerçant une influence déterminante sur l'évolution et la dynamique des populations microbiennes. Son importance transcende le simple échange génétique : elle représente un moteur essentiel d'innovation génomique, permettant la dissémination rapide de déterminants adaptatifs tels que les résistances aux antibiotiques, les facteurs de virulence et de nouvelles capacités métaboliques. D'un point de vue évolutif, la conjugaison accélère considérablement l'acquisition de caractères avantageux, contournant ainsi les limitations de la mutation et de la sélection verticale. Sur le plan écologique, elle façonne la structure des communautés microbiennes et facilite leur adaptation aux stress environnementaux.</w:t>
      </w:r>
    </w:p>
    <w:p w14:paraId="663C7D4E" w14:textId="77777777" w:rsidR="0088131B" w:rsidRPr="0088131B" w:rsidRDefault="0088131B" w:rsidP="0088131B">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88131B">
        <w:rPr>
          <w:rFonts w:asciiTheme="majorBidi" w:eastAsia="Times New Roman" w:hAnsiTheme="majorBidi" w:cstheme="majorBidi"/>
          <w:color w:val="222222"/>
          <w:sz w:val="24"/>
          <w:szCs w:val="24"/>
          <w:lang w:eastAsia="en-GB"/>
        </w:rPr>
        <w:t xml:space="preserve">Les implications de ce mécanisme sont multidimensionnelles. En santé publique, la compréhension des réseaux de conjugaison est cruciale pour anticiper et contrôler la propagation des résistances antimicrobiennes. En biotechnologie, les systèmes conjugatifs </w:t>
      </w:r>
      <w:r w:rsidRPr="0088131B">
        <w:rPr>
          <w:rFonts w:asciiTheme="majorBidi" w:eastAsia="Times New Roman" w:hAnsiTheme="majorBidi" w:cstheme="majorBidi"/>
          <w:color w:val="222222"/>
          <w:sz w:val="24"/>
          <w:szCs w:val="24"/>
          <w:lang w:eastAsia="en-GB"/>
        </w:rPr>
        <w:lastRenderedPageBreak/>
        <w:t>inspirent le développement d'outils de manipulation génétique sophistiqués, notamment dans le domaine de l'ingénierie végétale.</w:t>
      </w:r>
    </w:p>
    <w:p w14:paraId="6DEBB91E" w14:textId="00B2A345" w:rsidR="0088131B" w:rsidRPr="0088131B" w:rsidRDefault="0088131B" w:rsidP="0088131B">
      <w:pPr>
        <w:shd w:val="clear" w:color="auto" w:fill="FFFFFF"/>
        <w:spacing w:after="0" w:line="360" w:lineRule="auto"/>
        <w:jc w:val="both"/>
        <w:rPr>
          <w:rFonts w:asciiTheme="majorBidi" w:eastAsia="Times New Roman" w:hAnsiTheme="majorBidi" w:cstheme="majorBidi"/>
          <w:color w:val="222222"/>
          <w:sz w:val="24"/>
          <w:szCs w:val="24"/>
          <w:lang w:eastAsia="en-GB"/>
        </w:rPr>
      </w:pPr>
      <w:r w:rsidRPr="0088131B">
        <w:rPr>
          <w:rFonts w:asciiTheme="majorBidi" w:eastAsia="Times New Roman" w:hAnsiTheme="majorBidi" w:cstheme="majorBidi"/>
          <w:color w:val="222222"/>
          <w:sz w:val="24"/>
          <w:szCs w:val="24"/>
          <w:lang w:eastAsia="en-GB"/>
        </w:rPr>
        <w:t>En définitive, l'étude de la conjugaison bactérienne éclaire non seulement les stratégies d'adaptation procaryotique, mais fournit également un modèle conceptuel pour appréhender la plasticité génétique et les flux d'information héréditaire au sein des systèmes biologiques.</w:t>
      </w:r>
    </w:p>
    <w:sectPr w:rsidR="0088131B" w:rsidRPr="0088131B" w:rsidSect="00286D00">
      <w:headerReference w:type="even" r:id="rId13"/>
      <w:footerReference w:type="even" r:id="rId14"/>
      <w:footerReference w:type="defaul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A42F" w14:textId="77777777" w:rsidR="009350FF" w:rsidRDefault="009350FF" w:rsidP="009C1CAF">
      <w:pPr>
        <w:spacing w:after="0" w:line="240" w:lineRule="auto"/>
      </w:pPr>
      <w:r>
        <w:separator/>
      </w:r>
    </w:p>
  </w:endnote>
  <w:endnote w:type="continuationSeparator" w:id="0">
    <w:p w14:paraId="5FB69CEF" w14:textId="77777777" w:rsidR="009350FF" w:rsidRDefault="009350FF" w:rsidP="009C1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3040" w14:textId="10D24E3B" w:rsidR="00B668FB" w:rsidRDefault="00B668FB" w:rsidP="00A867C7">
    <w:pPr>
      <w:pStyle w:val="Footer"/>
    </w:pPr>
  </w:p>
  <w:p w14:paraId="1FD15E6D" w14:textId="11FB8F53" w:rsidR="00C56BC0" w:rsidRDefault="00C56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7EA5" w14:textId="001DEBE1" w:rsidR="00A867C7" w:rsidRPr="00286D00" w:rsidRDefault="00A867C7">
    <w:pPr>
      <w:pStyle w:val="Footer"/>
      <w:rPr>
        <w:rFonts w:asciiTheme="majorBidi" w:hAnsiTheme="majorBidi" w:cstheme="majorBidi"/>
      </w:rPr>
    </w:pPr>
    <w:r w:rsidRPr="00286D00">
      <w:rPr>
        <w:rFonts w:asciiTheme="majorBidi" w:hAnsiTheme="majorBidi" w:cstheme="majorBidi"/>
      </w:rPr>
      <w:tab/>
    </w:r>
    <w:r w:rsidRPr="00286D00">
      <w:rPr>
        <w:rFonts w:asciiTheme="majorBidi" w:hAnsiTheme="majorBidi" w:cstheme="majorBidi"/>
      </w:rPr>
      <w:tab/>
    </w:r>
    <w:r w:rsidR="00286D00" w:rsidRPr="00286D00">
      <w:rPr>
        <w:rFonts w:asciiTheme="majorBidi" w:hAnsiTheme="majorBidi" w:cstheme="majorBidi"/>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06DA" w14:textId="55DE72CA" w:rsidR="00A867C7" w:rsidRPr="00A867C7" w:rsidRDefault="00A867C7" w:rsidP="00A867C7">
    <w:pPr>
      <w:pStyle w:val="Footer"/>
      <w:ind w:left="4847" w:firstLine="4179"/>
      <w:rPr>
        <w:rFonts w:asciiTheme="majorBidi" w:hAnsiTheme="majorBidi" w:cstheme="majorBidi"/>
      </w:rPr>
    </w:pPr>
  </w:p>
  <w:p w14:paraId="0D6AAFF3" w14:textId="77D9A26D" w:rsidR="00A867C7" w:rsidRPr="00286D00" w:rsidRDefault="00286D00" w:rsidP="00286D00">
    <w:pPr>
      <w:pStyle w:val="Footer"/>
      <w:tabs>
        <w:tab w:val="left" w:pos="8910"/>
      </w:tabs>
      <w:rPr>
        <w:rFonts w:asciiTheme="majorBidi" w:hAnsiTheme="majorBidi" w:cstheme="majorBidi"/>
      </w:rPr>
    </w:pP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2928" w14:textId="5B7F4371" w:rsidR="00286D00" w:rsidRPr="00286D00" w:rsidRDefault="00286D00">
    <w:pPr>
      <w:pStyle w:val="Footer"/>
      <w:jc w:val="right"/>
      <w:rPr>
        <w:rFonts w:asciiTheme="majorBidi" w:hAnsiTheme="majorBidi" w:cstheme="majorBidi"/>
      </w:rPr>
    </w:pPr>
  </w:p>
  <w:p w14:paraId="7B07C836" w14:textId="1B353B78" w:rsidR="00A867C7" w:rsidRPr="00A867C7" w:rsidRDefault="00A867C7">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AAE1F" w14:textId="77777777" w:rsidR="009350FF" w:rsidRDefault="009350FF" w:rsidP="009C1CAF">
      <w:pPr>
        <w:spacing w:after="0" w:line="240" w:lineRule="auto"/>
      </w:pPr>
      <w:r>
        <w:separator/>
      </w:r>
    </w:p>
  </w:footnote>
  <w:footnote w:type="continuationSeparator" w:id="0">
    <w:p w14:paraId="546C9728" w14:textId="77777777" w:rsidR="009350FF" w:rsidRDefault="009350FF" w:rsidP="009C1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69C8" w14:textId="77777777" w:rsidR="00286D00" w:rsidRDefault="00286D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37DD3"/>
    <w:multiLevelType w:val="hybridMultilevel"/>
    <w:tmpl w:val="F7761E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8660863"/>
    <w:multiLevelType w:val="hybridMultilevel"/>
    <w:tmpl w:val="4808D7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D41821"/>
    <w:multiLevelType w:val="hybridMultilevel"/>
    <w:tmpl w:val="8A78B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432701A"/>
    <w:multiLevelType w:val="hybridMultilevel"/>
    <w:tmpl w:val="3418F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685986">
    <w:abstractNumId w:val="3"/>
  </w:num>
  <w:num w:numId="2" w16cid:durableId="587621275">
    <w:abstractNumId w:val="0"/>
  </w:num>
  <w:num w:numId="3" w16cid:durableId="627466819">
    <w:abstractNumId w:val="2"/>
  </w:num>
  <w:num w:numId="4" w16cid:durableId="1348289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33"/>
    <w:rsid w:val="000123D9"/>
    <w:rsid w:val="00027E49"/>
    <w:rsid w:val="00032723"/>
    <w:rsid w:val="00084417"/>
    <w:rsid w:val="000C0EAF"/>
    <w:rsid w:val="001436B9"/>
    <w:rsid w:val="001B7D87"/>
    <w:rsid w:val="002079D6"/>
    <w:rsid w:val="00222233"/>
    <w:rsid w:val="00230AC6"/>
    <w:rsid w:val="00286D00"/>
    <w:rsid w:val="002A099D"/>
    <w:rsid w:val="00301E1D"/>
    <w:rsid w:val="00373D09"/>
    <w:rsid w:val="00387CC1"/>
    <w:rsid w:val="00411EE3"/>
    <w:rsid w:val="00512A81"/>
    <w:rsid w:val="00560C62"/>
    <w:rsid w:val="00685D59"/>
    <w:rsid w:val="00717C39"/>
    <w:rsid w:val="0088131B"/>
    <w:rsid w:val="008B51C4"/>
    <w:rsid w:val="009350FF"/>
    <w:rsid w:val="00974821"/>
    <w:rsid w:val="00984723"/>
    <w:rsid w:val="009C1CAF"/>
    <w:rsid w:val="00A867C7"/>
    <w:rsid w:val="00A9608C"/>
    <w:rsid w:val="00B668FB"/>
    <w:rsid w:val="00BF06D9"/>
    <w:rsid w:val="00C02CFA"/>
    <w:rsid w:val="00C56BC0"/>
    <w:rsid w:val="00CC7C92"/>
    <w:rsid w:val="00EB35C8"/>
    <w:rsid w:val="00EE32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6347A"/>
  <w15:chartTrackingRefBased/>
  <w15:docId w15:val="{0D157393-2A0A-438A-A903-8D355E02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22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233"/>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222233"/>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222233"/>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222233"/>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222233"/>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22223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2223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2223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2223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22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23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22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23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22233"/>
    <w:pPr>
      <w:spacing w:before="160"/>
      <w:jc w:val="center"/>
    </w:pPr>
    <w:rPr>
      <w:i/>
      <w:iCs/>
      <w:color w:val="404040" w:themeColor="text1" w:themeTint="BF"/>
    </w:rPr>
  </w:style>
  <w:style w:type="character" w:customStyle="1" w:styleId="QuoteChar">
    <w:name w:val="Quote Char"/>
    <w:basedOn w:val="DefaultParagraphFont"/>
    <w:link w:val="Quote"/>
    <w:uiPriority w:val="29"/>
    <w:rsid w:val="00222233"/>
    <w:rPr>
      <w:i/>
      <w:iCs/>
      <w:color w:val="404040" w:themeColor="text1" w:themeTint="BF"/>
      <w:lang w:val="fr-FR"/>
    </w:rPr>
  </w:style>
  <w:style w:type="paragraph" w:styleId="ListParagraph">
    <w:name w:val="List Paragraph"/>
    <w:basedOn w:val="Normal"/>
    <w:uiPriority w:val="34"/>
    <w:qFormat/>
    <w:rsid w:val="00222233"/>
    <w:pPr>
      <w:ind w:left="720"/>
      <w:contextualSpacing/>
    </w:pPr>
  </w:style>
  <w:style w:type="character" w:styleId="IntenseEmphasis">
    <w:name w:val="Intense Emphasis"/>
    <w:basedOn w:val="DefaultParagraphFont"/>
    <w:uiPriority w:val="21"/>
    <w:qFormat/>
    <w:rsid w:val="00222233"/>
    <w:rPr>
      <w:i/>
      <w:iCs/>
      <w:color w:val="0F4761" w:themeColor="accent1" w:themeShade="BF"/>
    </w:rPr>
  </w:style>
  <w:style w:type="paragraph" w:styleId="IntenseQuote">
    <w:name w:val="Intense Quote"/>
    <w:basedOn w:val="Normal"/>
    <w:next w:val="Normal"/>
    <w:link w:val="IntenseQuoteChar"/>
    <w:uiPriority w:val="30"/>
    <w:qFormat/>
    <w:rsid w:val="00222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233"/>
    <w:rPr>
      <w:i/>
      <w:iCs/>
      <w:color w:val="0F4761" w:themeColor="accent1" w:themeShade="BF"/>
      <w:lang w:val="fr-FR"/>
    </w:rPr>
  </w:style>
  <w:style w:type="character" w:styleId="IntenseReference">
    <w:name w:val="Intense Reference"/>
    <w:basedOn w:val="DefaultParagraphFont"/>
    <w:uiPriority w:val="32"/>
    <w:qFormat/>
    <w:rsid w:val="00222233"/>
    <w:rPr>
      <w:b/>
      <w:bCs/>
      <w:smallCaps/>
      <w:color w:val="0F4761" w:themeColor="accent1" w:themeShade="BF"/>
      <w:spacing w:val="5"/>
    </w:rPr>
  </w:style>
  <w:style w:type="paragraph" w:styleId="Header">
    <w:name w:val="header"/>
    <w:basedOn w:val="Normal"/>
    <w:link w:val="HeaderChar"/>
    <w:uiPriority w:val="99"/>
    <w:unhideWhenUsed/>
    <w:rsid w:val="009C1C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CAF"/>
    <w:rPr>
      <w:lang w:val="fr-FR"/>
    </w:rPr>
  </w:style>
  <w:style w:type="paragraph" w:styleId="Footer">
    <w:name w:val="footer"/>
    <w:basedOn w:val="Normal"/>
    <w:link w:val="FooterChar"/>
    <w:uiPriority w:val="99"/>
    <w:unhideWhenUsed/>
    <w:rsid w:val="009C1C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CAF"/>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9</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neymar</dc:creator>
  <cp:keywords/>
  <dc:description/>
  <cp:lastModifiedBy>ahmed neymar</cp:lastModifiedBy>
  <cp:revision>5</cp:revision>
  <dcterms:created xsi:type="dcterms:W3CDTF">2025-12-17T20:24:00Z</dcterms:created>
  <dcterms:modified xsi:type="dcterms:W3CDTF">2025-12-18T20:39:00Z</dcterms:modified>
</cp:coreProperties>
</file>