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Quarterly Financial Report - Q4 2025</w:t>
      </w:r>
    </w:p>
    <w:p>
      <w:r>
        <w:t>Prepared by: John Smith, Chief Financial Officer</w:t>
      </w:r>
    </w:p>
    <w:p>
      <w:r>
        <w:t>Date: December 31, 2025</w:t>
      </w:r>
    </w:p>
    <w:p/>
    <w:p>
      <w:pPr>
        <w:pStyle w:val="Heading1"/>
      </w:pPr>
      <w:r>
        <w:t>Executive Summary</w:t>
      </w:r>
    </w:p>
    <w:p>
      <w:r>
        <w:t>Acme Corporation reported strong financial results for Q4 2025, with revenue reaching .2 million, a 12% increase compared to Q4 2024. Net income rose to .7 million, driven by robust demand across all product lines and strategic cost management initiatives.</w:t>
      </w:r>
    </w:p>
    <w:p>
      <w:pPr>
        <w:pStyle w:val="Heading1"/>
      </w:pPr>
      <w:r>
        <w:t>Revenue Highlights</w:t>
      </w:r>
    </w:p>
    <w:p>
      <w:r>
        <w:t>The North American market contributed .5 million, while European operations generated .3 million. Asia-Pacific revenue stood at .4 million, showing a remarkable 25% year-over-year growth. Our flagship product, the XR-5000 series, accounted for 40% of total revenue.</w:t>
      </w:r>
    </w:p>
    <w:p>
      <w:pPr>
        <w:pStyle w:val="Heading1"/>
      </w:pPr>
      <w:r>
        <w:t>Key Achievements</w:t>
      </w:r>
    </w:p>
    <w:p>
      <w:r>
        <w:t>We successfully expanded our operations to Tokyo, Japan and Berlin, Germany during this quarter. The company hired 150 new employees, bringing our total workforce to 2,500. Our partnership with Microsoft and Google Cloud has significantly improved our cloud infrastructure capabilities.</w:t>
      </w:r>
    </w:p>
    <w:p>
      <w:pPr>
        <w:pStyle w:val="Heading1"/>
      </w:pPr>
      <w:r>
        <w:t>Outlook</w:t>
      </w:r>
    </w:p>
    <w:p>
      <w:r>
        <w:t>Looking ahead to 2026, we are optimistic about continued growth. The board of directors has approved a capital expenditure budget of  million for R&amp;D investments. CEO Sarah Johnson expressed confidence that the company will exceed  million in annual revenue by 2027.</w:t>
      </w:r>
    </w:p>
    <w:p>
      <w:r>
        <w:t>We remain deeply concerned about rising inflation and supply chain disruptions that could negatively impact our margins. However, our diversified portfolio and strong balance sheet position us well to navigate these challenges.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