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41617" wp14:editId="38EBB7BD">
                <wp:simplePos x="0" y="0"/>
                <wp:positionH relativeFrom="margin">
                  <wp:posOffset>3965503</wp:posOffset>
                </wp:positionH>
                <wp:positionV relativeFrom="paragraph">
                  <wp:posOffset>7683488</wp:posOffset>
                </wp:positionV>
                <wp:extent cx="1838325" cy="543464"/>
                <wp:effectExtent l="0" t="0" r="28575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7777777" w:rsidR="00273DF1" w:rsidRDefault="00273DF1" w:rsidP="00273DF1">
                            <w:pPr>
                              <w:jc w:val="right"/>
                            </w:pPr>
                            <w:r>
                              <w:t>M.G. den Hollander</w:t>
                            </w:r>
                          </w:p>
                          <w:p w14:paraId="7772BFEA" w14:textId="77777777" w:rsidR="00273DF1" w:rsidRDefault="00273DF1" w:rsidP="00273DF1">
                            <w:pPr>
                              <w:jc w:val="right"/>
                            </w:pPr>
                            <w:r>
                              <w:t>Fontys Hogeschool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2.25pt;margin-top:605pt;width:144.75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fiNwIAAHw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" fillcolor="white [3201]" strokeweight=".5pt">
                <v:textbox>
                  <w:txbxContent>
                    <w:p w14:paraId="72A9CEE3" w14:textId="77777777" w:rsidR="00273DF1" w:rsidRDefault="00273DF1" w:rsidP="00273DF1">
                      <w:pPr>
                        <w:jc w:val="right"/>
                      </w:pPr>
                      <w:r>
                        <w:t>M.G. den Hollander</w:t>
                      </w:r>
                    </w:p>
                    <w:p w14:paraId="7772BFEA" w14:textId="77777777" w:rsidR="00273DF1" w:rsidRDefault="00273DF1" w:rsidP="00273DF1">
                      <w:pPr>
                        <w:jc w:val="right"/>
                      </w:pPr>
                      <w:r>
                        <w:t>Fontys Hogeschool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kstvak 4" o:spid="_x0000_s1027" type="#_x0000_t202" style="position:absolute;margin-left:139.2pt;margin-top:517.3pt;width:190.4pt;height:5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42" w:type="dxa"/>
            <w:shd w:val="clear" w:color="auto" w:fill="385623" w:themeFill="accent6" w:themeFillShade="80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81" w:type="dxa"/>
            <w:shd w:val="clear" w:color="auto" w:fill="385623" w:themeFill="accent6" w:themeFillShade="80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6E6F68" w14:paraId="219DDB36" w14:textId="77777777" w:rsidTr="00EF6009">
        <w:tc>
          <w:tcPr>
            <w:tcW w:w="739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42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6E6F68" w14:paraId="33063F4E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81" w:type="dxa"/>
            <w:shd w:val="clear" w:color="auto" w:fill="385623" w:themeFill="accent6" w:themeFillShade="80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6E6F68" w14:paraId="1C019F5D" w14:textId="77777777" w:rsidTr="00EF6009">
        <w:tc>
          <w:tcPr>
            <w:tcW w:w="739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42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22BF3283" w14:textId="4C24F8D8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AC3DE7">
              <w:rPr>
                <w:lang w:val="en-US"/>
              </w:rPr>
              <w:t xml:space="preserve">some questions that he had. I finally got a laptop and access to the network so I could start exploring the </w:t>
            </w:r>
            <w:r w:rsidR="00644C75">
              <w:rPr>
                <w:lang w:val="en-US"/>
              </w:rPr>
              <w:t xml:space="preserve">servers and RPA tooling that the company uses.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14:paraId="43177A9D" w14:textId="77777777" w:rsidTr="00EF6009">
        <w:tc>
          <w:tcPr>
            <w:tcW w:w="739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42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21F80654" w14:textId="77777777" w:rsidR="001F0206" w:rsidRDefault="001F0206"/>
        </w:tc>
      </w:tr>
      <w:tr w:rsidR="001F0206" w14:paraId="0E81E8FC" w14:textId="77777777" w:rsidTr="00EF6009">
        <w:tc>
          <w:tcPr>
            <w:tcW w:w="739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42" w:type="dxa"/>
          </w:tcPr>
          <w:p w14:paraId="66FAC37A" w14:textId="734F1B55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3D29FAA9" w14:textId="77777777" w:rsidR="001F0206" w:rsidRDefault="001F0206"/>
        </w:tc>
      </w:tr>
      <w:tr w:rsidR="001F0206" w14:paraId="3B0CF617" w14:textId="77777777" w:rsidTr="00EF6009">
        <w:tc>
          <w:tcPr>
            <w:tcW w:w="739" w:type="dxa"/>
          </w:tcPr>
          <w:p w14:paraId="28D3B8E1" w14:textId="53C5BAE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42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09090B8E" w14:textId="77777777" w:rsidR="001F0206" w:rsidRDefault="001F0206"/>
        </w:tc>
      </w:tr>
      <w:tr w:rsidR="00EF6009" w14:paraId="60D9EEA4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7E79FC89" w14:textId="77777777" w:rsidR="00EF6009" w:rsidRPr="00EF6009" w:rsidRDefault="00EF6009">
            <w:pPr>
              <w:rPr>
                <w:b/>
                <w:bCs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28DA110D" w14:textId="77777777" w:rsidR="00EF6009" w:rsidRDefault="00EF6009">
            <w:pPr>
              <w:rPr>
                <w:lang w:val="en-US"/>
              </w:rPr>
            </w:pPr>
          </w:p>
        </w:tc>
        <w:tc>
          <w:tcPr>
            <w:tcW w:w="5381" w:type="dxa"/>
            <w:shd w:val="clear" w:color="auto" w:fill="385623" w:themeFill="accent6" w:themeFillShade="80"/>
          </w:tcPr>
          <w:p w14:paraId="50CCEE2C" w14:textId="77777777" w:rsidR="00EF6009" w:rsidRDefault="00EF6009"/>
        </w:tc>
      </w:tr>
      <w:tr w:rsidR="00EF6009" w14:paraId="793C4F33" w14:textId="77777777" w:rsidTr="00EF6009">
        <w:tc>
          <w:tcPr>
            <w:tcW w:w="739" w:type="dxa"/>
          </w:tcPr>
          <w:p w14:paraId="7B49B056" w14:textId="0F92CDA7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42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4D2E032A" w14:textId="77777777" w:rsidR="00EF6009" w:rsidRDefault="00EF6009" w:rsidP="00EF6009"/>
        </w:tc>
      </w:tr>
      <w:tr w:rsidR="00EF6009" w14:paraId="46CC5F18" w14:textId="77777777" w:rsidTr="00EF6009">
        <w:tc>
          <w:tcPr>
            <w:tcW w:w="739" w:type="dxa"/>
          </w:tcPr>
          <w:p w14:paraId="19B75BC7" w14:textId="0DE83C24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42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40EFB3AA" w14:textId="77777777" w:rsidR="00EF6009" w:rsidRDefault="00EF6009" w:rsidP="00EF6009"/>
        </w:tc>
      </w:tr>
      <w:tr w:rsidR="00EF6009" w14:paraId="6E8048A1" w14:textId="77777777" w:rsidTr="00EF6009">
        <w:tc>
          <w:tcPr>
            <w:tcW w:w="739" w:type="dxa"/>
          </w:tcPr>
          <w:p w14:paraId="6683156E" w14:textId="6D82A182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42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43A365AC" w14:textId="77777777" w:rsidR="00EF6009" w:rsidRDefault="00EF6009" w:rsidP="00EF6009"/>
        </w:tc>
      </w:tr>
      <w:tr w:rsidR="00EF6009" w14:paraId="05C1A107" w14:textId="77777777" w:rsidTr="00EF6009">
        <w:tc>
          <w:tcPr>
            <w:tcW w:w="739" w:type="dxa"/>
          </w:tcPr>
          <w:p w14:paraId="6F5A556F" w14:textId="477AECE4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42" w:type="dxa"/>
          </w:tcPr>
          <w:p w14:paraId="778C821A" w14:textId="13AC044F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468062C" w14:textId="77777777" w:rsidR="00EF6009" w:rsidRDefault="00EF6009" w:rsidP="00EF6009"/>
        </w:tc>
      </w:tr>
      <w:tr w:rsidR="00EF6009" w14:paraId="6D6CC6B7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658D0589" w14:textId="77777777" w:rsidR="00EF6009" w:rsidRPr="00EF6009" w:rsidRDefault="00EF6009" w:rsidP="00EF6009">
            <w:pPr>
              <w:rPr>
                <w:b/>
                <w:bCs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6E1A4FD4" w14:textId="77777777" w:rsidR="00EF6009" w:rsidRDefault="00EF6009" w:rsidP="00EF6009"/>
        </w:tc>
        <w:tc>
          <w:tcPr>
            <w:tcW w:w="5381" w:type="dxa"/>
            <w:shd w:val="clear" w:color="auto" w:fill="385623" w:themeFill="accent6" w:themeFillShade="80"/>
          </w:tcPr>
          <w:p w14:paraId="027569E9" w14:textId="77777777" w:rsidR="00EF6009" w:rsidRDefault="00EF6009" w:rsidP="00EF6009"/>
        </w:tc>
      </w:tr>
      <w:tr w:rsidR="00C62FEC" w14:paraId="7F400CD9" w14:textId="77777777" w:rsidTr="00EF6009">
        <w:tc>
          <w:tcPr>
            <w:tcW w:w="739" w:type="dxa"/>
          </w:tcPr>
          <w:p w14:paraId="50A604BC" w14:textId="51DEB9A0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3</w:t>
            </w:r>
          </w:p>
        </w:tc>
        <w:tc>
          <w:tcPr>
            <w:tcW w:w="2942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ECE6686" w14:textId="77777777" w:rsidR="00C62FEC" w:rsidRDefault="00C62FEC" w:rsidP="00C62FEC"/>
        </w:tc>
      </w:tr>
      <w:tr w:rsidR="00C62FEC" w14:paraId="4771339D" w14:textId="77777777" w:rsidTr="00EF6009">
        <w:tc>
          <w:tcPr>
            <w:tcW w:w="739" w:type="dxa"/>
          </w:tcPr>
          <w:p w14:paraId="23D51AD1" w14:textId="6883FDF3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3</w:t>
            </w:r>
          </w:p>
        </w:tc>
        <w:tc>
          <w:tcPr>
            <w:tcW w:w="2942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20A7D2E" w14:textId="77777777" w:rsidR="00C62FEC" w:rsidRDefault="00C62FEC" w:rsidP="00C62FEC"/>
        </w:tc>
      </w:tr>
      <w:tr w:rsidR="00C62FEC" w14:paraId="31C8AF98" w14:textId="77777777" w:rsidTr="00EF6009">
        <w:tc>
          <w:tcPr>
            <w:tcW w:w="739" w:type="dxa"/>
          </w:tcPr>
          <w:p w14:paraId="15E6C639" w14:textId="2AB2306A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3</w:t>
            </w:r>
          </w:p>
        </w:tc>
        <w:tc>
          <w:tcPr>
            <w:tcW w:w="2942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6504DE1" w14:textId="77777777" w:rsidR="00C62FEC" w:rsidRDefault="00C62FEC" w:rsidP="00C62FEC"/>
        </w:tc>
      </w:tr>
      <w:tr w:rsidR="00C62FEC" w14:paraId="30BF8B25" w14:textId="77777777" w:rsidTr="00EF6009">
        <w:tc>
          <w:tcPr>
            <w:tcW w:w="739" w:type="dxa"/>
          </w:tcPr>
          <w:p w14:paraId="3BB175AE" w14:textId="10F823E2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3</w:t>
            </w:r>
          </w:p>
        </w:tc>
        <w:tc>
          <w:tcPr>
            <w:tcW w:w="2942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D3BF8AA" w14:textId="77777777" w:rsidR="00C62FEC" w:rsidRDefault="00C62FEC" w:rsidP="00C62FEC"/>
        </w:tc>
      </w:tr>
      <w:tr w:rsidR="00C62FEC" w14:paraId="112A7A57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7EE0E781" w14:textId="77777777" w:rsidR="00C62FEC" w:rsidRPr="00EF6009" w:rsidRDefault="00C62FEC" w:rsidP="00C62FEC">
            <w:pPr>
              <w:rPr>
                <w:b/>
                <w:bCs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151E32E2" w14:textId="2CE4D865" w:rsidR="00C62FEC" w:rsidRDefault="00C62FEC" w:rsidP="00C62FEC"/>
        </w:tc>
        <w:tc>
          <w:tcPr>
            <w:tcW w:w="5381" w:type="dxa"/>
            <w:shd w:val="clear" w:color="auto" w:fill="385623" w:themeFill="accent6" w:themeFillShade="80"/>
          </w:tcPr>
          <w:p w14:paraId="4292B4AF" w14:textId="77777777" w:rsidR="00C62FEC" w:rsidRDefault="00C62FEC" w:rsidP="00C62FEC"/>
        </w:tc>
      </w:tr>
      <w:tr w:rsidR="00C62FEC" w14:paraId="2A227875" w14:textId="77777777" w:rsidTr="00EF6009">
        <w:tc>
          <w:tcPr>
            <w:tcW w:w="739" w:type="dxa"/>
          </w:tcPr>
          <w:p w14:paraId="6F07E3F4" w14:textId="1A85529F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4</w:t>
            </w:r>
          </w:p>
        </w:tc>
        <w:tc>
          <w:tcPr>
            <w:tcW w:w="2942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318DDB4A" w14:textId="77777777" w:rsidR="00C62FEC" w:rsidRDefault="00C62FEC" w:rsidP="00C62FEC"/>
        </w:tc>
      </w:tr>
      <w:tr w:rsidR="00C62FEC" w14:paraId="3F2F3579" w14:textId="77777777" w:rsidTr="00EF6009">
        <w:tc>
          <w:tcPr>
            <w:tcW w:w="739" w:type="dxa"/>
          </w:tcPr>
          <w:p w14:paraId="109068F2" w14:textId="07BF561D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4</w:t>
            </w:r>
          </w:p>
        </w:tc>
        <w:tc>
          <w:tcPr>
            <w:tcW w:w="2942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78AA7AA0" w14:textId="77777777" w:rsidR="00C62FEC" w:rsidRDefault="00C62FEC" w:rsidP="00C62FEC"/>
        </w:tc>
      </w:tr>
      <w:tr w:rsidR="00C62FEC" w14:paraId="47DEB6EE" w14:textId="77777777" w:rsidTr="00EF6009">
        <w:tc>
          <w:tcPr>
            <w:tcW w:w="739" w:type="dxa"/>
          </w:tcPr>
          <w:p w14:paraId="731F7423" w14:textId="52573A6D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4</w:t>
            </w:r>
          </w:p>
        </w:tc>
        <w:tc>
          <w:tcPr>
            <w:tcW w:w="2942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4A2D533A" w14:textId="77777777" w:rsidR="00C62FEC" w:rsidRDefault="00C62FEC" w:rsidP="00C62FEC"/>
        </w:tc>
      </w:tr>
      <w:tr w:rsidR="00C62FEC" w14:paraId="62B5EE5E" w14:textId="77777777" w:rsidTr="00EF6009">
        <w:tc>
          <w:tcPr>
            <w:tcW w:w="739" w:type="dxa"/>
          </w:tcPr>
          <w:p w14:paraId="2C70AAA5" w14:textId="776941A9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4</w:t>
            </w:r>
          </w:p>
        </w:tc>
        <w:tc>
          <w:tcPr>
            <w:tcW w:w="2942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81" w:type="dxa"/>
          </w:tcPr>
          <w:p w14:paraId="719B0258" w14:textId="77777777" w:rsidR="00C62FEC" w:rsidRDefault="00C62FEC" w:rsidP="00C62FEC"/>
        </w:tc>
      </w:tr>
      <w:tr w:rsidR="00C62FEC" w14:paraId="7BA90719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4ECC41A1" w14:textId="77777777" w:rsidR="00C62FEC" w:rsidRPr="00EF6009" w:rsidRDefault="00C62FEC" w:rsidP="00C62FEC">
            <w:pPr>
              <w:rPr>
                <w:b/>
                <w:bCs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0CFE8B7E" w14:textId="3D5BC220" w:rsidR="00C62FEC" w:rsidRDefault="00C62FEC" w:rsidP="00C62FEC"/>
        </w:tc>
        <w:tc>
          <w:tcPr>
            <w:tcW w:w="5381" w:type="dxa"/>
            <w:shd w:val="clear" w:color="auto" w:fill="385623" w:themeFill="accent6" w:themeFillShade="80"/>
          </w:tcPr>
          <w:p w14:paraId="1C3A17A0" w14:textId="77777777" w:rsidR="00C62FEC" w:rsidRDefault="00C62FEC" w:rsidP="00C62FEC"/>
        </w:tc>
      </w:tr>
      <w:tr w:rsidR="00C62FEC" w14:paraId="2BE4399A" w14:textId="77777777" w:rsidTr="00EF6009">
        <w:tc>
          <w:tcPr>
            <w:tcW w:w="739" w:type="dxa"/>
          </w:tcPr>
          <w:p w14:paraId="5A115D3A" w14:textId="0910A4CC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5</w:t>
            </w:r>
          </w:p>
        </w:tc>
        <w:tc>
          <w:tcPr>
            <w:tcW w:w="2942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C62FEC" w14:paraId="6A91BD47" w14:textId="77777777" w:rsidTr="00EF6009">
        <w:tc>
          <w:tcPr>
            <w:tcW w:w="739" w:type="dxa"/>
          </w:tcPr>
          <w:p w14:paraId="7C7AE29C" w14:textId="5E8ED58A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5</w:t>
            </w:r>
          </w:p>
        </w:tc>
        <w:tc>
          <w:tcPr>
            <w:tcW w:w="2942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9515A96" w14:textId="77777777" w:rsidTr="00EF6009">
        <w:tc>
          <w:tcPr>
            <w:tcW w:w="739" w:type="dxa"/>
          </w:tcPr>
          <w:p w14:paraId="47989D9D" w14:textId="28A2E826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5</w:t>
            </w:r>
          </w:p>
        </w:tc>
        <w:tc>
          <w:tcPr>
            <w:tcW w:w="2942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3086B63" w14:textId="77777777" w:rsidTr="00BB5ED6">
        <w:tc>
          <w:tcPr>
            <w:tcW w:w="739" w:type="dxa"/>
            <w:shd w:val="clear" w:color="auto" w:fill="385623" w:themeFill="accent6" w:themeFillShade="80"/>
          </w:tcPr>
          <w:p w14:paraId="40064AD3" w14:textId="77777777" w:rsidR="00C62FEC" w:rsidRPr="00EF6009" w:rsidRDefault="00C62FEC" w:rsidP="00C62FEC">
            <w:pPr>
              <w:rPr>
                <w:b/>
                <w:bCs/>
              </w:rPr>
            </w:pPr>
          </w:p>
        </w:tc>
        <w:tc>
          <w:tcPr>
            <w:tcW w:w="2942" w:type="dxa"/>
            <w:shd w:val="clear" w:color="auto" w:fill="385623" w:themeFill="accent6" w:themeFillShade="80"/>
          </w:tcPr>
          <w:p w14:paraId="4C7169DA" w14:textId="7B369D25" w:rsidR="00C62FEC" w:rsidRDefault="00C62FEC" w:rsidP="00C62FEC"/>
        </w:tc>
        <w:tc>
          <w:tcPr>
            <w:tcW w:w="5381" w:type="dxa"/>
            <w:shd w:val="clear" w:color="auto" w:fill="385623" w:themeFill="accent6" w:themeFillShade="80"/>
          </w:tcPr>
          <w:p w14:paraId="35F6AAEF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EF6009">
        <w:tc>
          <w:tcPr>
            <w:tcW w:w="739" w:type="dxa"/>
          </w:tcPr>
          <w:p w14:paraId="22F2C756" w14:textId="0CB0CB8E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6</w:t>
            </w:r>
          </w:p>
        </w:tc>
        <w:tc>
          <w:tcPr>
            <w:tcW w:w="2942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EF6009">
        <w:tc>
          <w:tcPr>
            <w:tcW w:w="739" w:type="dxa"/>
          </w:tcPr>
          <w:p w14:paraId="7165BE76" w14:textId="757DC094" w:rsidR="00C62FEC" w:rsidRPr="00EF6009" w:rsidRDefault="00C62FEC" w:rsidP="00C62FEC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6</w:t>
            </w:r>
          </w:p>
        </w:tc>
        <w:tc>
          <w:tcPr>
            <w:tcW w:w="2942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1F0206"/>
    <w:rsid w:val="001F281F"/>
    <w:rsid w:val="00200CD0"/>
    <w:rsid w:val="00273DF1"/>
    <w:rsid w:val="00593BAC"/>
    <w:rsid w:val="00644C75"/>
    <w:rsid w:val="00676B35"/>
    <w:rsid w:val="006E1FAD"/>
    <w:rsid w:val="006E6F68"/>
    <w:rsid w:val="0078093F"/>
    <w:rsid w:val="007E22B6"/>
    <w:rsid w:val="008C78F1"/>
    <w:rsid w:val="00924791"/>
    <w:rsid w:val="00A711CA"/>
    <w:rsid w:val="00AA046F"/>
    <w:rsid w:val="00AC3DE7"/>
    <w:rsid w:val="00BB5ED6"/>
    <w:rsid w:val="00C62FEC"/>
    <w:rsid w:val="00D72CD0"/>
    <w:rsid w:val="00E265C0"/>
    <w:rsid w:val="00EF6009"/>
    <w:rsid w:val="00E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15</cp:revision>
  <dcterms:created xsi:type="dcterms:W3CDTF">2023-02-09T14:05:00Z</dcterms:created>
  <dcterms:modified xsi:type="dcterms:W3CDTF">2023-02-15T13:07:00Z</dcterms:modified>
</cp:coreProperties>
</file>