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644D9D4B"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w:t>
      </w:r>
      <w:r w:rsidR="007F08A8">
        <w:rPr>
          <w:rFonts w:ascii="Calibri" w:hAnsi="Calibri" w:cs="Calibri"/>
        </w:rPr>
        <w:t>Marc Anthony Aradillas</w:t>
      </w:r>
      <w:r w:rsidRPr="005A34D2">
        <w:rPr>
          <w:rFonts w:ascii="Calibri" w:hAnsi="Calibri" w:cs="Calibri"/>
        </w:rPr>
        <w:t>]</w:t>
      </w:r>
    </w:p>
    <w:p w14:paraId="2415D306" w14:textId="023A10B3"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w:t>
      </w:r>
      <w:r w:rsidR="007F08A8">
        <w:rPr>
          <w:rFonts w:ascii="Calibri" w:hAnsi="Calibri" w:cs="Calibri"/>
        </w:rPr>
        <w:t>marc.aradillas@snhu.edu</w:t>
      </w:r>
      <w:r w:rsidRPr="005A34D2">
        <w:rPr>
          <w:rFonts w:ascii="Calibri" w:hAnsi="Calibri" w:cs="Calibri"/>
        </w:rPr>
        <w:t>]</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5DA0E66D" w14:textId="370EA68B" w:rsidR="00DB716F" w:rsidRDefault="00314B53" w:rsidP="005A34D2">
      <w:pPr>
        <w:pStyle w:val="Heading2"/>
      </w:pPr>
      <w:r w:rsidRPr="005A34D2">
        <w:lastRenderedPageBreak/>
        <w:t>Introduction: Problem Statement</w:t>
      </w:r>
    </w:p>
    <w:p w14:paraId="00B4C0D0" w14:textId="3BFC19F0" w:rsidR="005A34D2" w:rsidRPr="005A34D2" w:rsidRDefault="005A34D2" w:rsidP="005A34D2">
      <w:pPr>
        <w:suppressAutoHyphens/>
        <w:spacing w:line="240" w:lineRule="auto"/>
        <w:ind w:left="360"/>
        <w:contextualSpacing/>
        <w:rPr>
          <w:rFonts w:ascii="Calibri" w:hAnsi="Calibri" w:cs="Calibri"/>
          <w:b/>
        </w:rPr>
      </w:pPr>
    </w:p>
    <w:p w14:paraId="21BAD486" w14:textId="61F0BCB2" w:rsidR="0036619D" w:rsidRPr="0036619D" w:rsidRDefault="0036619D" w:rsidP="0036619D">
      <w:pPr>
        <w:suppressAutoHyphens/>
        <w:spacing w:line="240" w:lineRule="auto"/>
        <w:contextualSpacing/>
        <w:rPr>
          <w:rFonts w:ascii="Calibri" w:hAnsi="Calibri" w:cs="Calibri"/>
          <w:iCs/>
          <w:lang w:val="en-US"/>
        </w:rPr>
      </w:pPr>
      <w:r w:rsidRPr="0036619D">
        <w:rPr>
          <w:rFonts w:ascii="Calibri" w:hAnsi="Calibri" w:cs="Calibri"/>
          <w:iCs/>
          <w:lang w:val="en-US"/>
        </w:rPr>
        <w:t>The goal of this project is to analyze historical basketball data using statistical methods to understand team performance and patterns. The data set used for this analysis is the NBA Elo dataset obtained from FiveThirtyEight. The statistical methods employed include descriptive statistics, confidence intervals, and data visualizations to study distributions, trends, and team performance.</w:t>
      </w:r>
    </w:p>
    <w:p w14:paraId="6EB8C07A" w14:textId="006A99FD" w:rsidR="00DB716F" w:rsidRDefault="00582E68" w:rsidP="005A34D2">
      <w:pPr>
        <w:suppressAutoHyphens/>
        <w:spacing w:line="240" w:lineRule="auto"/>
        <w:contextualSpacing/>
        <w:rPr>
          <w:rFonts w:ascii="Calibri" w:hAnsi="Calibri" w:cs="Calibri"/>
          <w:i/>
        </w:rPr>
      </w:pPr>
      <w:r w:rsidRPr="0036619D">
        <w:rPr>
          <w:rFonts w:ascii="Calibri" w:hAnsi="Calibri" w:cs="Calibri"/>
          <w:i/>
          <w:lang w:val="en-US"/>
        </w:rPr>
        <w:pict w14:anchorId="4772210C">
          <v:rect id="_x0000_i1035" style="width:0;height:1.5pt" o:hralign="center" o:hrstd="t" o:hr="t" fillcolor="#a0a0a0" stroked="f"/>
        </w:pict>
      </w:r>
    </w:p>
    <w:p w14:paraId="18847FDB" w14:textId="30FAD37F" w:rsidR="0036619D" w:rsidRPr="005A34D2" w:rsidRDefault="0036619D" w:rsidP="005A34D2">
      <w:pPr>
        <w:suppressAutoHyphens/>
        <w:spacing w:line="240" w:lineRule="auto"/>
        <w:contextualSpacing/>
        <w:rPr>
          <w:rFonts w:ascii="Calibri" w:hAnsi="Calibri" w:cs="Calibri"/>
          <w:i/>
        </w:rPr>
      </w:pPr>
    </w:p>
    <w:p w14:paraId="40BCEF1F" w14:textId="7A4CF3D1" w:rsidR="00DB716F" w:rsidRDefault="00314B53" w:rsidP="005A34D2">
      <w:pPr>
        <w:pStyle w:val="Heading2"/>
      </w:pPr>
      <w:r w:rsidRPr="005A34D2">
        <w:t>Introduction: Your Team and the Assigned Team</w:t>
      </w:r>
    </w:p>
    <w:p w14:paraId="4A42079C" w14:textId="5F9245A2" w:rsidR="0036619D" w:rsidRDefault="0036619D" w:rsidP="0036619D">
      <w:pPr>
        <w:suppressAutoHyphens/>
        <w:spacing w:line="240" w:lineRule="auto"/>
        <w:contextualSpacing/>
        <w:rPr>
          <w:rFonts w:ascii="Calibri" w:hAnsi="Calibri" w:cs="Calibri"/>
          <w:i/>
          <w:lang w:val="en-US"/>
        </w:rPr>
      </w:pPr>
    </w:p>
    <w:p w14:paraId="11AFE33D" w14:textId="4C6BC5ED" w:rsidR="00DB716F" w:rsidRPr="0036619D" w:rsidRDefault="0036619D" w:rsidP="0036619D">
      <w:pPr>
        <w:suppressAutoHyphens/>
        <w:spacing w:line="240" w:lineRule="auto"/>
        <w:contextualSpacing/>
        <w:rPr>
          <w:rFonts w:ascii="Calibri" w:hAnsi="Calibri" w:cs="Calibri"/>
          <w:iCs/>
          <w:lang w:val="en-US"/>
        </w:rPr>
      </w:pPr>
      <w:r w:rsidRPr="0036619D">
        <w:rPr>
          <w:rFonts w:ascii="Calibri" w:hAnsi="Calibri" w:cs="Calibri"/>
          <w:iCs/>
          <w:lang w:val="en-US"/>
        </w:rPr>
        <w:t>This project involves a comparative analysis of two basketball teams. The selected team for analysis is</w:t>
      </w:r>
      <w:r>
        <w:rPr>
          <w:rFonts w:ascii="Calibri" w:hAnsi="Calibri" w:cs="Calibri"/>
          <w:iCs/>
          <w:lang w:val="en-US"/>
        </w:rPr>
        <w:t xml:space="preserve"> Dallas</w:t>
      </w:r>
      <w:r w:rsidRPr="0036619D">
        <w:rPr>
          <w:rFonts w:ascii="Calibri" w:hAnsi="Calibri" w:cs="Calibri"/>
          <w:iCs/>
          <w:lang w:val="en-US"/>
        </w:rPr>
        <w:t xml:space="preserve"> </w:t>
      </w:r>
      <w:r w:rsidRPr="0036619D">
        <w:rPr>
          <w:rFonts w:ascii="Calibri" w:hAnsi="Calibri" w:cs="Calibri"/>
          <w:iCs/>
          <w:lang w:val="en-US"/>
        </w:rPr>
        <w:t xml:space="preserve">Mavericks </w:t>
      </w:r>
      <w:r w:rsidRPr="0036619D">
        <w:rPr>
          <w:rFonts w:ascii="Calibri" w:hAnsi="Calibri" w:cs="Calibri"/>
          <w:iCs/>
          <w:lang w:val="en-US"/>
        </w:rPr>
        <w:t>for the years 2013–2015. The assigned team for comparison is the Chicago Bulls for the years 1996–1998.</w:t>
      </w:r>
    </w:p>
    <w:p w14:paraId="23AD48F2" w14:textId="6F08C807" w:rsidR="00DB716F" w:rsidRPr="0036619D" w:rsidRDefault="00314B53" w:rsidP="005A34D2">
      <w:pPr>
        <w:suppressAutoHyphens/>
        <w:spacing w:line="240" w:lineRule="auto"/>
        <w:contextualSpacing/>
        <w:jc w:val="center"/>
        <w:rPr>
          <w:rFonts w:ascii="Calibri" w:hAnsi="Calibri" w:cs="Calibri"/>
          <w:b/>
          <w:bCs/>
        </w:rPr>
      </w:pPr>
      <w:r w:rsidRPr="0036619D">
        <w:rPr>
          <w:rFonts w:ascii="Calibri" w:hAnsi="Calibri" w:cs="Calibri"/>
          <w:b/>
          <w:bCs/>
        </w:rPr>
        <w:t>Table 1. Information on the Teams</w:t>
      </w:r>
    </w:p>
    <w:p w14:paraId="49D41EB7" w14:textId="2B0271A2" w:rsidR="002D755F" w:rsidRPr="005A34D2" w:rsidRDefault="002D755F" w:rsidP="0036619D">
      <w:pPr>
        <w:suppressAutoHyphens/>
        <w:spacing w:line="240" w:lineRule="auto"/>
        <w:contextualSpacing/>
        <w:jc w:val="center"/>
        <w:rPr>
          <w:rFonts w:ascii="Calibri" w:hAnsi="Calibri" w:cs="Calibri"/>
        </w:rPr>
      </w:pPr>
    </w:p>
    <w:tbl>
      <w:tblPr>
        <w:tblStyle w:val="a"/>
        <w:tblW w:w="63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25"/>
        <w:gridCol w:w="3675"/>
      </w:tblGrid>
      <w:tr w:rsidR="0036619D" w:rsidRPr="005A34D2" w14:paraId="01FB9906" w14:textId="77777777" w:rsidTr="0036619D">
        <w:trPr>
          <w:tblHeader/>
          <w:jc w:val="center"/>
        </w:trPr>
        <w:tc>
          <w:tcPr>
            <w:tcW w:w="2625" w:type="dxa"/>
            <w:tcBorders>
              <w:top w:val="single" w:sz="8" w:space="0" w:color="000000"/>
              <w:bottom w:val="single" w:sz="8" w:space="0" w:color="000000"/>
              <w:right w:val="single" w:sz="8" w:space="0" w:color="000000"/>
            </w:tcBorders>
            <w:shd w:val="clear" w:color="auto" w:fill="DAEEF3" w:themeFill="accent5" w:themeFillTint="33"/>
            <w:tcMar>
              <w:top w:w="0" w:type="dxa"/>
              <w:left w:w="115" w:type="dxa"/>
              <w:bottom w:w="0" w:type="dxa"/>
              <w:right w:w="115" w:type="dxa"/>
            </w:tcMar>
          </w:tcPr>
          <w:p w14:paraId="67B04D5F" w14:textId="77777777" w:rsidR="0036619D" w:rsidRPr="005A34D2" w:rsidRDefault="0036619D" w:rsidP="0036619D">
            <w:pPr>
              <w:suppressAutoHyphens/>
              <w:spacing w:line="240" w:lineRule="auto"/>
              <w:contextualSpacing/>
              <w:jc w:val="center"/>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shd w:val="clear" w:color="auto" w:fill="DAEEF3" w:themeFill="accent5" w:themeFillTint="33"/>
            <w:tcMar>
              <w:top w:w="0" w:type="dxa"/>
              <w:left w:w="115" w:type="dxa"/>
              <w:bottom w:w="0" w:type="dxa"/>
              <w:right w:w="115" w:type="dxa"/>
            </w:tcMar>
          </w:tcPr>
          <w:p w14:paraId="719526BA" w14:textId="77777777" w:rsidR="0036619D" w:rsidRPr="005A34D2" w:rsidRDefault="0036619D" w:rsidP="0036619D">
            <w:pPr>
              <w:suppressAutoHyphens/>
              <w:spacing w:line="240" w:lineRule="auto"/>
              <w:contextualSpacing/>
              <w:jc w:val="center"/>
              <w:rPr>
                <w:rFonts w:ascii="Calibri" w:hAnsi="Calibri" w:cs="Calibri"/>
                <w:b/>
              </w:rPr>
            </w:pPr>
            <w:r>
              <w:rPr>
                <w:rFonts w:ascii="Calibri" w:hAnsi="Calibri" w:cs="Calibri"/>
                <w:b/>
              </w:rPr>
              <w:t>Assigned Years</w:t>
            </w:r>
          </w:p>
        </w:tc>
      </w:tr>
      <w:tr w:rsidR="0036619D" w:rsidRPr="005A34D2" w14:paraId="0B79E6D7" w14:textId="77777777" w:rsidTr="0036619D">
        <w:trPr>
          <w:tblHeader/>
          <w:jc w:val="center"/>
        </w:trPr>
        <w:tc>
          <w:tcPr>
            <w:tcW w:w="2625" w:type="dxa"/>
            <w:tcBorders>
              <w:right w:val="single" w:sz="8" w:space="0" w:color="000000"/>
            </w:tcBorders>
            <w:tcMar>
              <w:top w:w="0" w:type="dxa"/>
              <w:left w:w="115" w:type="dxa"/>
              <w:bottom w:w="0" w:type="dxa"/>
              <w:right w:w="115" w:type="dxa"/>
            </w:tcMar>
          </w:tcPr>
          <w:p w14:paraId="664A575D" w14:textId="4DE305E5" w:rsidR="0036619D" w:rsidRPr="005A34D2" w:rsidRDefault="0036619D" w:rsidP="0036619D">
            <w:pPr>
              <w:suppressAutoHyphens/>
              <w:spacing w:line="240" w:lineRule="auto"/>
              <w:contextualSpacing/>
              <w:jc w:val="center"/>
              <w:rPr>
                <w:rFonts w:ascii="Calibri" w:hAnsi="Calibri" w:cs="Calibri"/>
              </w:rPr>
            </w:pPr>
            <w:r>
              <w:rPr>
                <w:rFonts w:ascii="Calibri" w:hAnsi="Calibri" w:cs="Calibri"/>
              </w:rPr>
              <w:t>Dallas Mavericks</w:t>
            </w:r>
          </w:p>
        </w:tc>
        <w:tc>
          <w:tcPr>
            <w:tcW w:w="3675" w:type="dxa"/>
            <w:tcBorders>
              <w:right w:val="single" w:sz="8" w:space="0" w:color="000000"/>
            </w:tcBorders>
            <w:tcMar>
              <w:top w:w="0" w:type="dxa"/>
              <w:left w:w="115" w:type="dxa"/>
              <w:bottom w:w="0" w:type="dxa"/>
              <w:right w:w="115" w:type="dxa"/>
            </w:tcMar>
          </w:tcPr>
          <w:p w14:paraId="4D067316" w14:textId="23DD5E54" w:rsidR="0036619D" w:rsidRPr="005A34D2" w:rsidRDefault="0036619D" w:rsidP="0036619D">
            <w:pPr>
              <w:suppressAutoHyphens/>
              <w:spacing w:line="240" w:lineRule="auto"/>
              <w:contextualSpacing/>
              <w:jc w:val="center"/>
              <w:rPr>
                <w:rFonts w:ascii="Calibri" w:hAnsi="Calibri" w:cs="Calibri"/>
              </w:rPr>
            </w:pPr>
            <w:r w:rsidRPr="005A34D2">
              <w:rPr>
                <w:rFonts w:ascii="Calibri" w:hAnsi="Calibri" w:cs="Calibri"/>
              </w:rPr>
              <w:t>2013 - 2015</w:t>
            </w:r>
          </w:p>
        </w:tc>
      </w:tr>
      <w:tr w:rsidR="0036619D" w:rsidRPr="005A34D2" w14:paraId="78050E12" w14:textId="77777777" w:rsidTr="00582E68">
        <w:trPr>
          <w:tblHeader/>
          <w:jc w:val="center"/>
        </w:trPr>
        <w:tc>
          <w:tcPr>
            <w:tcW w:w="2625" w:type="dxa"/>
            <w:tcBorders>
              <w:right w:val="single" w:sz="8" w:space="0" w:color="000000"/>
            </w:tcBorders>
            <w:tcMar>
              <w:top w:w="0" w:type="dxa"/>
              <w:left w:w="115" w:type="dxa"/>
              <w:bottom w:w="0" w:type="dxa"/>
              <w:right w:w="115" w:type="dxa"/>
            </w:tcMar>
          </w:tcPr>
          <w:p w14:paraId="4252A9DC" w14:textId="2A93D210" w:rsidR="0036619D" w:rsidRPr="005A34D2" w:rsidRDefault="0036619D" w:rsidP="0036619D">
            <w:pPr>
              <w:suppressAutoHyphens/>
              <w:spacing w:line="240" w:lineRule="auto"/>
              <w:contextualSpacing/>
              <w:jc w:val="center"/>
              <w:rPr>
                <w:rFonts w:ascii="Calibri" w:hAnsi="Calibri" w:cs="Calibri"/>
              </w:rPr>
            </w:pPr>
            <w:r>
              <w:rPr>
                <w:rFonts w:ascii="Calibri" w:hAnsi="Calibri" w:cs="Calibri"/>
              </w:rPr>
              <w:t>Chicago Bulls</w:t>
            </w:r>
          </w:p>
        </w:tc>
        <w:tc>
          <w:tcPr>
            <w:tcW w:w="3675" w:type="dxa"/>
            <w:tcBorders>
              <w:right w:val="single" w:sz="8" w:space="0" w:color="000000"/>
            </w:tcBorders>
            <w:tcMar>
              <w:top w:w="0" w:type="dxa"/>
              <w:left w:w="115" w:type="dxa"/>
              <w:bottom w:w="0" w:type="dxa"/>
              <w:right w:w="115" w:type="dxa"/>
            </w:tcMar>
          </w:tcPr>
          <w:p w14:paraId="784B3389" w14:textId="1CFD7DBB" w:rsidR="0036619D" w:rsidRPr="0036619D" w:rsidRDefault="0036619D" w:rsidP="0036619D">
            <w:pPr>
              <w:jc w:val="center"/>
            </w:pPr>
            <w:r w:rsidRPr="0036619D">
              <w:rPr>
                <w:rFonts w:ascii="Calibri" w:hAnsi="Calibri" w:cs="Calibri"/>
              </w:rPr>
              <w:t>1996</w:t>
            </w:r>
            <w:r>
              <w:rPr>
                <w:rFonts w:ascii="Calibri" w:hAnsi="Calibri" w:cs="Calibri"/>
              </w:rPr>
              <w:t xml:space="preserve"> - </w:t>
            </w:r>
            <w:r w:rsidRPr="0036619D">
              <w:rPr>
                <w:rFonts w:ascii="Calibri" w:hAnsi="Calibri" w:cs="Calibri"/>
              </w:rPr>
              <w:t>1998</w:t>
            </w:r>
          </w:p>
        </w:tc>
      </w:tr>
    </w:tbl>
    <w:p w14:paraId="74F9B9C1" w14:textId="43AFB9A7" w:rsidR="00DB716F" w:rsidRPr="005A34D2" w:rsidRDefault="00582E68" w:rsidP="005A34D2">
      <w:pPr>
        <w:suppressAutoHyphens/>
        <w:spacing w:line="240" w:lineRule="auto"/>
        <w:contextualSpacing/>
        <w:rPr>
          <w:rFonts w:ascii="Calibri" w:hAnsi="Calibri" w:cs="Calibri"/>
          <w:b/>
        </w:rPr>
      </w:pPr>
      <w:r w:rsidRPr="0036619D">
        <w:rPr>
          <w:rFonts w:ascii="Calibri" w:hAnsi="Calibri" w:cs="Calibri"/>
          <w:i/>
          <w:lang w:val="en-US"/>
        </w:rPr>
        <w:pict w14:anchorId="44FD4793">
          <v:rect id="_x0000_i1034" style="width:0;height:1.5pt" o:hralign="center" o:hrstd="t" o:hr="t" fillcolor="#a0a0a0" stroked="f"/>
        </w:pict>
      </w:r>
    </w:p>
    <w:p w14:paraId="6BE995DD" w14:textId="77777777" w:rsidR="00DB716F" w:rsidRPr="005A34D2" w:rsidRDefault="00DB716F" w:rsidP="005A34D2">
      <w:pPr>
        <w:suppressAutoHyphens/>
        <w:spacing w:line="240" w:lineRule="auto"/>
        <w:contextualSpacing/>
        <w:rPr>
          <w:rFonts w:ascii="Calibri" w:hAnsi="Calibri" w:cs="Calibri"/>
          <w:i/>
        </w:rPr>
      </w:pPr>
    </w:p>
    <w:p w14:paraId="7B273884" w14:textId="77777777" w:rsidR="00DB716F" w:rsidRDefault="00314B53" w:rsidP="005A34D2">
      <w:pPr>
        <w:pStyle w:val="Heading2"/>
      </w:pPr>
      <w:r w:rsidRPr="005A34D2">
        <w:t>Data Visualization: Points Scored by Your Team</w:t>
      </w:r>
    </w:p>
    <w:p w14:paraId="2AB01C43" w14:textId="77777777" w:rsidR="005A34D2" w:rsidRPr="005A34D2" w:rsidRDefault="005A34D2" w:rsidP="005A34D2">
      <w:pPr>
        <w:suppressAutoHyphens/>
        <w:spacing w:line="240" w:lineRule="auto"/>
        <w:ind w:left="360"/>
        <w:contextualSpacing/>
        <w:rPr>
          <w:rFonts w:ascii="Calibri" w:hAnsi="Calibri" w:cs="Calibri"/>
          <w:b/>
        </w:rPr>
      </w:pPr>
    </w:p>
    <w:p w14:paraId="3B606CCF" w14:textId="07766CD2" w:rsidR="0036619D" w:rsidRPr="0036619D" w:rsidRDefault="0036619D" w:rsidP="0036619D">
      <w:pPr>
        <w:suppressAutoHyphens/>
        <w:spacing w:line="240" w:lineRule="auto"/>
        <w:contextualSpacing/>
        <w:rPr>
          <w:rFonts w:ascii="Calibri" w:hAnsi="Calibri" w:cs="Calibri"/>
          <w:iCs/>
          <w:lang w:val="en-US"/>
        </w:rPr>
      </w:pPr>
      <w:r w:rsidRPr="0036619D">
        <w:rPr>
          <w:rFonts w:ascii="Calibri" w:hAnsi="Calibri" w:cs="Calibri"/>
          <w:iCs/>
          <w:lang w:val="en-US"/>
        </w:rPr>
        <w:t>Data visualization is a powerful tool for studying data distributions and identifying trends. It provides a graphical representation of the data, making it easier to spot patterns, anomalies, and general distributions.</w:t>
      </w:r>
      <w:r>
        <w:rPr>
          <w:rFonts w:ascii="Calibri" w:hAnsi="Calibri" w:cs="Calibri"/>
          <w:iCs/>
          <w:lang w:val="en-US"/>
        </w:rPr>
        <w:br/>
      </w:r>
    </w:p>
    <w:p w14:paraId="7D3B05D5" w14:textId="560F4BF1" w:rsidR="0036619D" w:rsidRDefault="00582E68" w:rsidP="0036619D">
      <w:pPr>
        <w:suppressAutoHyphens/>
        <w:spacing w:line="240" w:lineRule="auto"/>
        <w:contextualSpacing/>
        <w:rPr>
          <w:rFonts w:ascii="Calibri" w:hAnsi="Calibri" w:cs="Calibri"/>
          <w:iCs/>
          <w:lang w:val="en-US"/>
        </w:rPr>
      </w:pPr>
      <w:r w:rsidRPr="0036619D">
        <w:rPr>
          <w:rFonts w:ascii="Calibri" w:hAnsi="Calibri" w:cs="Calibri"/>
          <w:iCs/>
          <w:lang w:val="en-US"/>
        </w:rPr>
        <w:drawing>
          <wp:anchor distT="0" distB="0" distL="114300" distR="114300" simplePos="0" relativeHeight="251653632" behindDoc="0" locked="0" layoutInCell="1" allowOverlap="1" wp14:anchorId="2D05FA96" wp14:editId="10365D27">
            <wp:simplePos x="0" y="0"/>
            <wp:positionH relativeFrom="column">
              <wp:posOffset>1017739</wp:posOffset>
            </wp:positionH>
            <wp:positionV relativeFrom="paragraph">
              <wp:posOffset>191825</wp:posOffset>
            </wp:positionV>
            <wp:extent cx="3378835" cy="2111375"/>
            <wp:effectExtent l="0" t="0" r="0" b="3175"/>
            <wp:wrapTopAndBottom/>
            <wp:docPr id="1820980040" name="Picture 1" descr="A graph of points scored by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80040" name="Picture 1" descr="A graph of points scored by a team&#10;&#10;Description automatically generated"/>
                    <pic:cNvPicPr/>
                  </pic:nvPicPr>
                  <pic:blipFill rotWithShape="1">
                    <a:blip r:embed="rId11">
                      <a:extLst>
                        <a:ext uri="{28A0092B-C50C-407E-A947-70E740481C1C}">
                          <a14:useLocalDpi xmlns:a14="http://schemas.microsoft.com/office/drawing/2010/main" val="0"/>
                        </a:ext>
                      </a:extLst>
                    </a:blip>
                    <a:srcRect l="1338"/>
                    <a:stretch/>
                  </pic:blipFill>
                  <pic:spPr bwMode="auto">
                    <a:xfrm>
                      <a:off x="0" y="0"/>
                      <a:ext cx="3378835" cy="211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619D" w:rsidRPr="0036619D">
        <w:rPr>
          <w:rFonts w:ascii="Calibri" w:hAnsi="Calibri" w:cs="Calibri"/>
          <w:iCs/>
          <w:lang w:val="en-US"/>
        </w:rPr>
        <w:t>The plot selected to represent the distribution of points scored by</w:t>
      </w:r>
      <w:r w:rsidR="0036619D">
        <w:rPr>
          <w:rFonts w:ascii="Calibri" w:hAnsi="Calibri" w:cs="Calibri"/>
          <w:iCs/>
          <w:lang w:val="en-US"/>
        </w:rPr>
        <w:t xml:space="preserve"> the</w:t>
      </w:r>
      <w:r w:rsidR="0036619D" w:rsidRPr="0036619D">
        <w:rPr>
          <w:rFonts w:ascii="Calibri" w:hAnsi="Calibri" w:cs="Calibri"/>
          <w:iCs/>
          <w:lang w:val="en-US"/>
        </w:rPr>
        <w:t xml:space="preserve"> </w:t>
      </w:r>
      <w:r w:rsidR="0036619D">
        <w:rPr>
          <w:rFonts w:ascii="Calibri" w:hAnsi="Calibri" w:cs="Calibri"/>
          <w:iCs/>
          <w:lang w:val="en-US"/>
        </w:rPr>
        <w:t xml:space="preserve">Mavericks </w:t>
      </w:r>
      <w:r w:rsidR="0036619D" w:rsidRPr="0036619D">
        <w:rPr>
          <w:rFonts w:ascii="Calibri" w:hAnsi="Calibri" w:cs="Calibri"/>
          <w:iCs/>
          <w:lang w:val="en-US"/>
        </w:rPr>
        <w:t>is a histogram.</w:t>
      </w:r>
    </w:p>
    <w:p w14:paraId="7303EE1E" w14:textId="77777777" w:rsidR="00582E68" w:rsidRDefault="00582E68" w:rsidP="00582E68">
      <w:pPr>
        <w:suppressAutoHyphens/>
        <w:spacing w:line="240" w:lineRule="auto"/>
        <w:contextualSpacing/>
        <w:rPr>
          <w:rFonts w:ascii="Calibri" w:hAnsi="Calibri" w:cs="Calibri"/>
          <w:iCs/>
          <w:lang w:val="en-US"/>
        </w:rPr>
      </w:pPr>
    </w:p>
    <w:p w14:paraId="2379F226" w14:textId="4C0B929A" w:rsidR="00582E68" w:rsidRPr="00582E68" w:rsidRDefault="00582E68" w:rsidP="00582E68">
      <w:pPr>
        <w:suppressAutoHyphens/>
        <w:spacing w:line="240" w:lineRule="auto"/>
        <w:contextualSpacing/>
        <w:rPr>
          <w:rFonts w:ascii="Calibri" w:hAnsi="Calibri" w:cs="Calibri"/>
          <w:iCs/>
          <w:lang w:val="en-US"/>
        </w:rPr>
      </w:pPr>
      <w:r w:rsidRPr="00582E68">
        <w:rPr>
          <w:rFonts w:ascii="Calibri" w:hAnsi="Calibri" w:cs="Calibri"/>
          <w:iCs/>
          <w:lang w:val="en-US"/>
        </w:rPr>
        <w:t xml:space="preserve">The histogram was chosen because it effectively shows the frequency distribution of points scored by </w:t>
      </w:r>
      <w:r>
        <w:rPr>
          <w:rFonts w:ascii="Calibri" w:hAnsi="Calibri" w:cs="Calibri"/>
          <w:iCs/>
          <w:lang w:val="en-US"/>
        </w:rPr>
        <w:t>the Dallas Mavericks</w:t>
      </w:r>
      <w:r w:rsidRPr="00582E68">
        <w:rPr>
          <w:rFonts w:ascii="Calibri" w:hAnsi="Calibri" w:cs="Calibri"/>
          <w:iCs/>
          <w:lang w:val="en-US"/>
        </w:rPr>
        <w:t xml:space="preserve"> from 2013 to 2015, offering insights into the central tendency and spread of the data. The distribution appears bell-shaped, which suggests a relatively normal distribution of points scored. This indicates consistency in the team’s scoring performance during the specified period, with most games falling within a central range of scores. The histogram provides a clear visualization that supports identifying trends and patterns in the data.</w:t>
      </w:r>
    </w:p>
    <w:p w14:paraId="6A942B66" w14:textId="7DC97EAF" w:rsidR="00DB716F" w:rsidRPr="00BF3D91" w:rsidRDefault="0036619D" w:rsidP="005A34D2">
      <w:pPr>
        <w:suppressAutoHyphens/>
        <w:spacing w:line="240" w:lineRule="auto"/>
        <w:contextualSpacing/>
        <w:rPr>
          <w:rFonts w:ascii="Calibri" w:hAnsi="Calibri" w:cs="Calibri"/>
          <w:i/>
          <w:lang w:val="en-US"/>
        </w:rPr>
      </w:pPr>
      <w:r w:rsidRPr="0036619D">
        <w:rPr>
          <w:rFonts w:ascii="Calibri" w:hAnsi="Calibri" w:cs="Calibri"/>
          <w:i/>
          <w:lang w:val="en-US"/>
        </w:rPr>
        <w:pict w14:anchorId="4351FCEA">
          <v:rect id="_x0000_i1032" style="width:0;height:1.5pt" o:hralign="center" o:hrstd="t" o:hr="t" fillcolor="#a0a0a0" stroked="f"/>
        </w:pict>
      </w:r>
    </w:p>
    <w:p w14:paraId="5151C5A4" w14:textId="08D1D323" w:rsidR="00DB716F" w:rsidRDefault="00314B53" w:rsidP="002D755F">
      <w:pPr>
        <w:pStyle w:val="Heading2"/>
      </w:pPr>
      <w:r w:rsidRPr="005A34D2">
        <w:lastRenderedPageBreak/>
        <w:t>Data Visualization: Points Scored by the Assigned Team</w:t>
      </w:r>
    </w:p>
    <w:p w14:paraId="4917F966" w14:textId="215F5343" w:rsidR="002D755F" w:rsidRPr="005A34D2" w:rsidRDefault="002D755F" w:rsidP="002D755F">
      <w:pPr>
        <w:suppressAutoHyphens/>
        <w:spacing w:line="240" w:lineRule="auto"/>
        <w:ind w:left="360"/>
        <w:contextualSpacing/>
        <w:rPr>
          <w:rFonts w:ascii="Calibri" w:hAnsi="Calibri" w:cs="Calibri"/>
          <w:b/>
        </w:rPr>
      </w:pPr>
    </w:p>
    <w:p w14:paraId="531172CF" w14:textId="08EA4EBA" w:rsidR="00582E68" w:rsidRPr="00582E68" w:rsidRDefault="00582E68" w:rsidP="00582E68">
      <w:pPr>
        <w:suppressAutoHyphens/>
        <w:spacing w:line="240" w:lineRule="auto"/>
        <w:contextualSpacing/>
        <w:rPr>
          <w:rFonts w:ascii="Calibri" w:hAnsi="Calibri" w:cs="Calibri"/>
          <w:iCs/>
          <w:lang w:val="en-US"/>
        </w:rPr>
      </w:pPr>
      <w:r w:rsidRPr="00582E68">
        <w:rPr>
          <w:rFonts w:ascii="Calibri" w:hAnsi="Calibri" w:cs="Calibri"/>
          <w:iCs/>
        </w:rPr>
        <w:drawing>
          <wp:anchor distT="0" distB="0" distL="114300" distR="114300" simplePos="0" relativeHeight="251659776" behindDoc="0" locked="0" layoutInCell="1" allowOverlap="1" wp14:anchorId="1A324FF3" wp14:editId="2DD4AFE4">
            <wp:simplePos x="0" y="0"/>
            <wp:positionH relativeFrom="column">
              <wp:posOffset>739361</wp:posOffset>
            </wp:positionH>
            <wp:positionV relativeFrom="paragraph">
              <wp:posOffset>394859</wp:posOffset>
            </wp:positionV>
            <wp:extent cx="3768918" cy="2366446"/>
            <wp:effectExtent l="0" t="0" r="3175" b="0"/>
            <wp:wrapTopAndBottom/>
            <wp:docPr id="1153670620" name="Picture 1" descr="A graph of points scored by the bu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70620" name="Picture 1" descr="A graph of points scored by the bull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8918" cy="2366446"/>
                    </a:xfrm>
                    <a:prstGeom prst="rect">
                      <a:avLst/>
                    </a:prstGeom>
                  </pic:spPr>
                </pic:pic>
              </a:graphicData>
            </a:graphic>
          </wp:anchor>
        </w:drawing>
      </w:r>
      <w:r w:rsidRPr="00582E68">
        <w:rPr>
          <w:rFonts w:ascii="Calibri" w:hAnsi="Calibri" w:cs="Calibri"/>
          <w:iCs/>
          <w:lang w:val="en-US"/>
        </w:rPr>
        <w:t>The plot selected to represent the distribution of points scored by the assigned team (Chicago Bulls) is a histogram.</w:t>
      </w:r>
      <w:r>
        <w:rPr>
          <w:rFonts w:ascii="Calibri" w:hAnsi="Calibri" w:cs="Calibri"/>
          <w:iCs/>
        </w:rPr>
        <w:br/>
      </w:r>
    </w:p>
    <w:p w14:paraId="5AB2B7CF" w14:textId="70C8A146" w:rsidR="00BF3D91" w:rsidRDefault="00582E68" w:rsidP="00582E68">
      <w:pPr>
        <w:suppressAutoHyphens/>
        <w:spacing w:line="240" w:lineRule="auto"/>
        <w:contextualSpacing/>
        <w:rPr>
          <w:rFonts w:ascii="Calibri" w:hAnsi="Calibri" w:cs="Calibri"/>
          <w:iCs/>
        </w:rPr>
      </w:pPr>
      <w:r w:rsidRPr="00582E68">
        <w:rPr>
          <w:rFonts w:ascii="Calibri" w:hAnsi="Calibri" w:cs="Calibri"/>
          <w:iCs/>
        </w:rPr>
        <w:t>The histogram was chosen for its ability to clearly display the frequency distribution of points scored by the Chicago Bulls. The distribution appears bell-shaped, suggesting a relatively consistent scoring performance during the years analyzed.</w:t>
      </w:r>
    </w:p>
    <w:p w14:paraId="7924B67E" w14:textId="09995731" w:rsidR="00582E68" w:rsidRDefault="00582E68" w:rsidP="00582E68">
      <w:pPr>
        <w:suppressAutoHyphens/>
        <w:spacing w:line="240" w:lineRule="auto"/>
        <w:contextualSpacing/>
        <w:rPr>
          <w:rFonts w:ascii="Calibri" w:hAnsi="Calibri" w:cs="Calibri"/>
          <w:i/>
          <w:lang w:val="en-US"/>
        </w:rPr>
      </w:pPr>
      <w:r>
        <w:rPr>
          <w:rFonts w:ascii="Calibri" w:hAnsi="Calibri" w:cs="Calibri"/>
          <w:iCs/>
        </w:rPr>
        <w:br/>
      </w:r>
      <w:r w:rsidR="00BF3D91" w:rsidRPr="0036619D">
        <w:rPr>
          <w:rFonts w:ascii="Calibri" w:hAnsi="Calibri" w:cs="Calibri"/>
          <w:i/>
          <w:lang w:val="en-US"/>
        </w:rPr>
        <w:pict w14:anchorId="2DEB547A">
          <v:rect id="_x0000_i1059" style="width:0;height:1.5pt" o:hralign="center" o:hrstd="t" o:hr="t" fillcolor="#a0a0a0" stroked="f"/>
        </w:pict>
      </w:r>
    </w:p>
    <w:p w14:paraId="2F315009" w14:textId="4CEDE988" w:rsidR="00BF3D91" w:rsidRPr="00582E68" w:rsidRDefault="00BF3D91" w:rsidP="00582E68">
      <w:pPr>
        <w:suppressAutoHyphens/>
        <w:spacing w:line="240" w:lineRule="auto"/>
        <w:contextualSpacing/>
        <w:rPr>
          <w:rFonts w:ascii="Calibri" w:hAnsi="Calibri" w:cs="Calibri"/>
          <w:iCs/>
          <w:lang w:val="en-US"/>
        </w:rPr>
      </w:pPr>
    </w:p>
    <w:p w14:paraId="524588C7" w14:textId="09340A7D" w:rsidR="00DB716F" w:rsidRDefault="00314B53" w:rsidP="002D755F">
      <w:pPr>
        <w:pStyle w:val="Heading2"/>
      </w:pPr>
      <w:r w:rsidRPr="005A34D2">
        <w:t>Data Visualization: Comparing the Two Teams</w:t>
      </w:r>
    </w:p>
    <w:p w14:paraId="509D1900" w14:textId="1F7DD09F" w:rsidR="002D755F" w:rsidRPr="005A34D2" w:rsidRDefault="002D755F" w:rsidP="002D755F">
      <w:pPr>
        <w:suppressAutoHyphens/>
        <w:spacing w:line="240" w:lineRule="auto"/>
        <w:ind w:left="360"/>
        <w:contextualSpacing/>
        <w:rPr>
          <w:rFonts w:ascii="Calibri" w:hAnsi="Calibri" w:cs="Calibri"/>
          <w:b/>
        </w:rPr>
      </w:pPr>
    </w:p>
    <w:p w14:paraId="1C72AB3F" w14:textId="15448178" w:rsidR="00BF3D91" w:rsidRPr="00BF3D91" w:rsidRDefault="00BF3D91" w:rsidP="005A34D2">
      <w:pPr>
        <w:suppressAutoHyphens/>
        <w:spacing w:line="240" w:lineRule="auto"/>
        <w:contextualSpacing/>
        <w:rPr>
          <w:rFonts w:ascii="Calibri" w:hAnsi="Calibri" w:cs="Calibri"/>
          <w:iCs/>
          <w:lang w:val="en-US"/>
        </w:rPr>
      </w:pPr>
      <w:r>
        <w:rPr>
          <w:rFonts w:ascii="Calibri" w:hAnsi="Calibri" w:cs="Calibri"/>
          <w:i/>
          <w:noProof/>
        </w:rPr>
        <mc:AlternateContent>
          <mc:Choice Requires="wpi">
            <w:drawing>
              <wp:anchor distT="0" distB="0" distL="114300" distR="114300" simplePos="0" relativeHeight="251661312" behindDoc="0" locked="0" layoutInCell="1" allowOverlap="1" wp14:anchorId="0027A699" wp14:editId="11CA4335">
                <wp:simplePos x="0" y="0"/>
                <wp:positionH relativeFrom="column">
                  <wp:posOffset>2750682</wp:posOffset>
                </wp:positionH>
                <wp:positionV relativeFrom="paragraph">
                  <wp:posOffset>1081354</wp:posOffset>
                </wp:positionV>
                <wp:extent cx="97560" cy="271080"/>
                <wp:effectExtent l="76200" t="57150" r="36195" b="72390"/>
                <wp:wrapNone/>
                <wp:docPr id="293850969"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97560" cy="271080"/>
                      </w14:xfrm>
                    </w14:contentPart>
                  </a:graphicData>
                </a:graphic>
              </wp:anchor>
            </w:drawing>
          </mc:Choice>
          <mc:Fallback>
            <w:pict>
              <v:shape w14:anchorId="3EEF149A" id="Ink 2" o:spid="_x0000_s1026" type="#_x0000_t75" style="position:absolute;margin-left:215.2pt;margin-top:83.75pt;width:10.55pt;height:2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">
                <v:imagedata r:id="rId14" o:title=""/>
              </v:shape>
            </w:pict>
          </mc:Fallback>
        </mc:AlternateContent>
      </w:r>
      <w:r w:rsidRPr="00BF3D91">
        <w:rPr>
          <w:rFonts w:ascii="Calibri" w:hAnsi="Calibri" w:cs="Calibri"/>
          <w:i/>
        </w:rPr>
        <w:drawing>
          <wp:anchor distT="0" distB="0" distL="114300" distR="114300" simplePos="0" relativeHeight="251665920" behindDoc="0" locked="0" layoutInCell="1" allowOverlap="1" wp14:anchorId="21E107F0" wp14:editId="113A1C99">
            <wp:simplePos x="0" y="0"/>
            <wp:positionH relativeFrom="column">
              <wp:posOffset>1128478</wp:posOffset>
            </wp:positionH>
            <wp:positionV relativeFrom="paragraph">
              <wp:posOffset>548088</wp:posOffset>
            </wp:positionV>
            <wp:extent cx="2957830" cy="2356485"/>
            <wp:effectExtent l="0" t="0" r="0" b="5715"/>
            <wp:wrapTopAndBottom/>
            <wp:docPr id="948502140"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02140" name="Picture 1" descr="A diagram of a box pl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57830" cy="2356485"/>
                    </a:xfrm>
                    <a:prstGeom prst="rect">
                      <a:avLst/>
                    </a:prstGeom>
                  </pic:spPr>
                </pic:pic>
              </a:graphicData>
            </a:graphic>
            <wp14:sizeRelH relativeFrom="margin">
              <wp14:pctWidth>0</wp14:pctWidth>
            </wp14:sizeRelH>
            <wp14:sizeRelV relativeFrom="margin">
              <wp14:pctHeight>0</wp14:pctHeight>
            </wp14:sizeRelV>
          </wp:anchor>
        </w:drawing>
      </w:r>
      <w:r w:rsidRPr="00BF3D91">
        <w:rPr>
          <w:rFonts w:ascii="Calibri" w:hAnsi="Calibri" w:cs="Calibri"/>
          <w:iCs/>
          <w:lang w:val="en-US"/>
        </w:rPr>
        <w:t xml:space="preserve">Data visualization is also used to compare two different data distributions by overlaying or juxtaposing their visual representations. The plot selected to compare the points scored by </w:t>
      </w:r>
      <w:r>
        <w:rPr>
          <w:rFonts w:ascii="Calibri" w:hAnsi="Calibri" w:cs="Calibri"/>
          <w:iCs/>
          <w:lang w:val="en-US"/>
        </w:rPr>
        <w:t>The Dallas Mavericks</w:t>
      </w:r>
      <w:r w:rsidRPr="00BF3D91">
        <w:rPr>
          <w:rFonts w:ascii="Calibri" w:hAnsi="Calibri" w:cs="Calibri"/>
          <w:iCs/>
          <w:lang w:val="en-US"/>
        </w:rPr>
        <w:t xml:space="preserve"> and the Chicago Bulls is a side-by-side boxplot.</w:t>
      </w:r>
    </w:p>
    <w:p w14:paraId="728D240D" w14:textId="742B8210" w:rsidR="00DB716F" w:rsidRPr="00BF3D91" w:rsidRDefault="00BF3D91" w:rsidP="00BF3D91">
      <w:pPr>
        <w:suppressAutoHyphens/>
        <w:spacing w:line="240" w:lineRule="auto"/>
        <w:contextualSpacing/>
        <w:rPr>
          <w:rFonts w:ascii="Calibri" w:hAnsi="Calibri" w:cs="Calibri"/>
          <w:iCs/>
        </w:rPr>
      </w:pPr>
      <w:r w:rsidRPr="00BF3D91">
        <w:rPr>
          <w:rFonts w:ascii="Calibri" w:hAnsi="Calibri" w:cs="Calibri"/>
          <w:iCs/>
        </w:rPr>
        <w:t xml:space="preserve">The side-by-side boxplot was chosen as it provides a clear comparison of the central tendencies and variability for both teams. It reveals that </w:t>
      </w:r>
      <w:r>
        <w:rPr>
          <w:rFonts w:ascii="Calibri" w:hAnsi="Calibri" w:cs="Calibri"/>
          <w:iCs/>
        </w:rPr>
        <w:t>The Dallas Mavericks</w:t>
      </w:r>
      <w:r w:rsidRPr="00BF3D91">
        <w:rPr>
          <w:rFonts w:ascii="Calibri" w:hAnsi="Calibri" w:cs="Calibri"/>
          <w:iCs/>
        </w:rPr>
        <w:t xml:space="preserve"> had </w:t>
      </w:r>
      <w:r>
        <w:rPr>
          <w:rFonts w:ascii="Calibri" w:hAnsi="Calibri" w:cs="Calibri"/>
          <w:iCs/>
        </w:rPr>
        <w:t>slightly</w:t>
      </w:r>
      <w:r w:rsidRPr="00BF3D91">
        <w:rPr>
          <w:rFonts w:ascii="Calibri" w:hAnsi="Calibri" w:cs="Calibri"/>
          <w:iCs/>
        </w:rPr>
        <w:t xml:space="preserve"> higher median scores</w:t>
      </w:r>
      <w:r>
        <w:rPr>
          <w:rFonts w:ascii="Calibri" w:hAnsi="Calibri" w:cs="Calibri"/>
          <w:iCs/>
        </w:rPr>
        <w:t xml:space="preserve"> </w:t>
      </w:r>
      <w:r w:rsidRPr="00BF3D91">
        <w:rPr>
          <w:rFonts w:ascii="Calibri" w:hAnsi="Calibri" w:cs="Calibri"/>
          <w:iCs/>
        </w:rPr>
        <w:t xml:space="preserve">compared to the Chicago Bulls, with less variability, as indicated by the </w:t>
      </w:r>
      <w:r>
        <w:rPr>
          <w:rFonts w:ascii="Calibri" w:hAnsi="Calibri" w:cs="Calibri"/>
          <w:iCs/>
        </w:rPr>
        <w:t>narrower</w:t>
      </w:r>
      <w:r w:rsidRPr="00BF3D91">
        <w:rPr>
          <w:rFonts w:ascii="Calibri" w:hAnsi="Calibri" w:cs="Calibri"/>
          <w:iCs/>
        </w:rPr>
        <w:t xml:space="preserve"> interquartile range.</w:t>
      </w:r>
    </w:p>
    <w:p w14:paraId="2412B056" w14:textId="5E4917D4" w:rsidR="00DB716F" w:rsidRDefault="00DB716F" w:rsidP="005A34D2">
      <w:pPr>
        <w:suppressAutoHyphens/>
        <w:spacing w:line="240" w:lineRule="auto"/>
        <w:ind w:left="720"/>
        <w:contextualSpacing/>
        <w:rPr>
          <w:rFonts w:ascii="Calibri" w:hAnsi="Calibri" w:cs="Calibri"/>
          <w:i/>
        </w:rPr>
      </w:pPr>
    </w:p>
    <w:p w14:paraId="7843CEA3" w14:textId="51E63B43" w:rsidR="00BF3D91" w:rsidRDefault="00BF3D91" w:rsidP="00BF3D91">
      <w:pPr>
        <w:suppressAutoHyphens/>
        <w:spacing w:line="240" w:lineRule="auto"/>
        <w:contextualSpacing/>
        <w:rPr>
          <w:rFonts w:ascii="Calibri" w:hAnsi="Calibri" w:cs="Calibri"/>
          <w:i/>
          <w:lang w:val="en-US"/>
        </w:rPr>
      </w:pPr>
      <w:r w:rsidRPr="0036619D">
        <w:rPr>
          <w:rFonts w:ascii="Calibri" w:hAnsi="Calibri" w:cs="Calibri"/>
          <w:i/>
          <w:lang w:val="en-US"/>
        </w:rPr>
        <w:lastRenderedPageBreak/>
        <w:pict w14:anchorId="4D86E5AF">
          <v:rect id="_x0000_i1041" style="width:0;height:1.5pt" o:hralign="center" o:hrstd="t" o:hr="t" fillcolor="#a0a0a0" stroked="f"/>
        </w:pict>
      </w:r>
    </w:p>
    <w:p w14:paraId="67FC9E94" w14:textId="77777777" w:rsidR="00BF3D91" w:rsidRPr="005A34D2" w:rsidRDefault="00BF3D91" w:rsidP="00BF3D91">
      <w:pPr>
        <w:suppressAutoHyphens/>
        <w:spacing w:line="240" w:lineRule="auto"/>
        <w:contextualSpacing/>
        <w:rPr>
          <w:rFonts w:ascii="Calibri" w:hAnsi="Calibri" w:cs="Calibri"/>
          <w:i/>
        </w:rPr>
      </w:pPr>
    </w:p>
    <w:p w14:paraId="7C038B6F" w14:textId="77777777"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Your Team in Home Games</w:t>
      </w:r>
    </w:p>
    <w:p w14:paraId="28300576" w14:textId="77777777" w:rsidR="00051E5C" w:rsidRDefault="00051E5C" w:rsidP="00051E5C"/>
    <w:p w14:paraId="33DDE386" w14:textId="77777777" w:rsidR="00051E5C" w:rsidRPr="00051E5C" w:rsidRDefault="00051E5C" w:rsidP="00051E5C">
      <w:pPr>
        <w:suppressAutoHyphens/>
        <w:spacing w:line="240" w:lineRule="auto"/>
        <w:contextualSpacing/>
        <w:jc w:val="center"/>
        <w:rPr>
          <w:rFonts w:ascii="Calibri" w:hAnsi="Calibri" w:cs="Calibri"/>
          <w:b/>
          <w:bCs/>
        </w:rPr>
      </w:pPr>
      <w:r w:rsidRPr="00051E5C">
        <w:rPr>
          <w:rFonts w:ascii="Calibri" w:hAnsi="Calibri" w:cs="Calibri"/>
          <w:b/>
          <w:bCs/>
        </w:rPr>
        <w:t>Table 2. Descriptive Statistics for Points Scored by Your Team in Home Games</w:t>
      </w:r>
    </w:p>
    <w:p w14:paraId="01235BC5" w14:textId="77777777" w:rsidR="002D755F" w:rsidRPr="005A34D2" w:rsidRDefault="002D755F" w:rsidP="00051E5C">
      <w:pPr>
        <w:suppressAutoHyphens/>
        <w:spacing w:line="240" w:lineRule="auto"/>
        <w:contextualSpacing/>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051E5C">
        <w:trPr>
          <w:tblHeader/>
        </w:trPr>
        <w:tc>
          <w:tcPr>
            <w:tcW w:w="4335" w:type="dxa"/>
            <w:shd w:val="clear" w:color="auto" w:fill="DAEEF3" w:themeFill="accent5" w:themeFillTint="33"/>
            <w:tcMar>
              <w:top w:w="0" w:type="dxa"/>
              <w:left w:w="115" w:type="dxa"/>
              <w:bottom w:w="0" w:type="dxa"/>
              <w:right w:w="115" w:type="dxa"/>
            </w:tcMar>
          </w:tcPr>
          <w:p w14:paraId="448432C3" w14:textId="1D0FB2D3" w:rsidR="00DB716F" w:rsidRPr="005A34D2" w:rsidRDefault="00051E5C" w:rsidP="005A34D2">
            <w:pPr>
              <w:suppressAutoHyphens/>
              <w:spacing w:line="240" w:lineRule="auto"/>
              <w:contextualSpacing/>
              <w:rPr>
                <w:rFonts w:ascii="Calibri" w:hAnsi="Calibri" w:cs="Calibri"/>
                <w:b/>
              </w:rPr>
            </w:pPr>
            <w:r>
              <w:rPr>
                <w:rFonts w:ascii="Calibri" w:hAnsi="Calibri" w:cs="Calibri"/>
                <w:b/>
              </w:rPr>
              <w:t>Statistic Name</w:t>
            </w:r>
          </w:p>
        </w:tc>
        <w:tc>
          <w:tcPr>
            <w:tcW w:w="3900" w:type="dxa"/>
            <w:shd w:val="clear" w:color="auto" w:fill="DAEEF3" w:themeFill="accent5" w:themeFillTint="33"/>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22581654" w:rsidR="00DB716F" w:rsidRPr="00051E5C" w:rsidRDefault="00051E5C" w:rsidP="005A34D2">
            <w:pPr>
              <w:suppressAutoHyphens/>
              <w:spacing w:line="240" w:lineRule="auto"/>
              <w:contextualSpacing/>
              <w:rPr>
                <w:rFonts w:ascii="Calibri" w:hAnsi="Calibri" w:cs="Calibri"/>
                <w:iCs/>
              </w:rPr>
            </w:pPr>
            <w:r>
              <w:rPr>
                <w:rFonts w:ascii="Calibri" w:hAnsi="Calibri" w:cs="Calibri"/>
                <w:iCs/>
              </w:rPr>
              <w:t>Mean</w:t>
            </w:r>
          </w:p>
        </w:tc>
        <w:tc>
          <w:tcPr>
            <w:tcW w:w="3900" w:type="dxa"/>
            <w:tcMar>
              <w:top w:w="0" w:type="dxa"/>
              <w:left w:w="115" w:type="dxa"/>
              <w:bottom w:w="0" w:type="dxa"/>
              <w:right w:w="115" w:type="dxa"/>
            </w:tcMar>
          </w:tcPr>
          <w:p w14:paraId="5A6150A7" w14:textId="11C058E3" w:rsidR="00DB716F" w:rsidRPr="00051E5C" w:rsidRDefault="00051E5C" w:rsidP="005A34D2">
            <w:pPr>
              <w:suppressAutoHyphens/>
              <w:spacing w:line="240" w:lineRule="auto"/>
              <w:contextualSpacing/>
              <w:rPr>
                <w:rFonts w:ascii="Calibri" w:hAnsi="Calibri" w:cs="Calibri"/>
                <w:iCs/>
              </w:rPr>
            </w:pPr>
            <w:r>
              <w:rPr>
                <w:rFonts w:ascii="Calibri" w:hAnsi="Calibri" w:cs="Calibri"/>
                <w:iCs/>
              </w:rPr>
              <w:t>105.68</w:t>
            </w:r>
          </w:p>
        </w:tc>
      </w:tr>
      <w:tr w:rsidR="00051E5C" w:rsidRPr="005A34D2" w14:paraId="16BAF629" w14:textId="77777777" w:rsidTr="006A376F">
        <w:trPr>
          <w:tblHeader/>
        </w:trPr>
        <w:tc>
          <w:tcPr>
            <w:tcW w:w="4335" w:type="dxa"/>
            <w:tcMar>
              <w:top w:w="0" w:type="dxa"/>
              <w:left w:w="115" w:type="dxa"/>
              <w:bottom w:w="0" w:type="dxa"/>
              <w:right w:w="115" w:type="dxa"/>
            </w:tcMar>
          </w:tcPr>
          <w:p w14:paraId="1EEF37AB" w14:textId="05741878" w:rsidR="00051E5C" w:rsidRDefault="00051E5C" w:rsidP="005A34D2">
            <w:pPr>
              <w:suppressAutoHyphens/>
              <w:spacing w:line="240" w:lineRule="auto"/>
              <w:contextualSpacing/>
              <w:rPr>
                <w:rFonts w:ascii="Calibri" w:hAnsi="Calibri" w:cs="Calibri"/>
                <w:iCs/>
              </w:rPr>
            </w:pPr>
            <w:r>
              <w:rPr>
                <w:rFonts w:ascii="Calibri" w:hAnsi="Calibri" w:cs="Calibri"/>
                <w:iCs/>
              </w:rPr>
              <w:t>Median</w:t>
            </w:r>
          </w:p>
        </w:tc>
        <w:tc>
          <w:tcPr>
            <w:tcW w:w="3900" w:type="dxa"/>
            <w:tcMar>
              <w:top w:w="0" w:type="dxa"/>
              <w:left w:w="115" w:type="dxa"/>
              <w:bottom w:w="0" w:type="dxa"/>
              <w:right w:w="115" w:type="dxa"/>
            </w:tcMar>
          </w:tcPr>
          <w:p w14:paraId="5A374E12" w14:textId="0D427156" w:rsidR="00051E5C" w:rsidRDefault="00051E5C" w:rsidP="005A34D2">
            <w:pPr>
              <w:suppressAutoHyphens/>
              <w:spacing w:line="240" w:lineRule="auto"/>
              <w:contextualSpacing/>
              <w:rPr>
                <w:rFonts w:ascii="Calibri" w:hAnsi="Calibri" w:cs="Calibri"/>
                <w:iCs/>
              </w:rPr>
            </w:pPr>
            <w:r>
              <w:rPr>
                <w:rFonts w:ascii="Calibri" w:hAnsi="Calibri" w:cs="Calibri"/>
                <w:iCs/>
              </w:rPr>
              <w:t>105.0</w:t>
            </w:r>
          </w:p>
        </w:tc>
      </w:tr>
      <w:tr w:rsidR="00051E5C" w:rsidRPr="005A34D2" w14:paraId="4F01C41B" w14:textId="77777777" w:rsidTr="006A376F">
        <w:trPr>
          <w:tblHeader/>
        </w:trPr>
        <w:tc>
          <w:tcPr>
            <w:tcW w:w="4335" w:type="dxa"/>
            <w:tcMar>
              <w:top w:w="0" w:type="dxa"/>
              <w:left w:w="115" w:type="dxa"/>
              <w:bottom w:w="0" w:type="dxa"/>
              <w:right w:w="115" w:type="dxa"/>
            </w:tcMar>
          </w:tcPr>
          <w:p w14:paraId="51552506" w14:textId="0318EFDD" w:rsidR="00051E5C" w:rsidRDefault="00051E5C" w:rsidP="005A34D2">
            <w:pPr>
              <w:suppressAutoHyphens/>
              <w:spacing w:line="240" w:lineRule="auto"/>
              <w:contextualSpacing/>
              <w:rPr>
                <w:rFonts w:ascii="Calibri" w:hAnsi="Calibri" w:cs="Calibri"/>
                <w:iCs/>
              </w:rPr>
            </w:pPr>
            <w:r>
              <w:rPr>
                <w:rFonts w:ascii="Calibri" w:hAnsi="Calibri" w:cs="Calibri"/>
                <w:iCs/>
              </w:rPr>
              <w:t>Variance</w:t>
            </w:r>
          </w:p>
        </w:tc>
        <w:tc>
          <w:tcPr>
            <w:tcW w:w="3900" w:type="dxa"/>
            <w:tcMar>
              <w:top w:w="0" w:type="dxa"/>
              <w:left w:w="115" w:type="dxa"/>
              <w:bottom w:w="0" w:type="dxa"/>
              <w:right w:w="115" w:type="dxa"/>
            </w:tcMar>
          </w:tcPr>
          <w:p w14:paraId="4A7A404E" w14:textId="3CFD3B33" w:rsidR="00051E5C" w:rsidRDefault="00051E5C" w:rsidP="005A34D2">
            <w:pPr>
              <w:suppressAutoHyphens/>
              <w:spacing w:line="240" w:lineRule="auto"/>
              <w:contextualSpacing/>
              <w:rPr>
                <w:rFonts w:ascii="Calibri" w:hAnsi="Calibri" w:cs="Calibri"/>
                <w:iCs/>
              </w:rPr>
            </w:pPr>
            <w:r>
              <w:rPr>
                <w:rFonts w:ascii="Calibri" w:hAnsi="Calibri" w:cs="Calibri"/>
                <w:iCs/>
              </w:rPr>
              <w:t>123.32</w:t>
            </w:r>
          </w:p>
        </w:tc>
      </w:tr>
      <w:tr w:rsidR="00051E5C" w:rsidRPr="005A34D2" w14:paraId="41B80165" w14:textId="77777777" w:rsidTr="006A376F">
        <w:trPr>
          <w:tblHeader/>
        </w:trPr>
        <w:tc>
          <w:tcPr>
            <w:tcW w:w="4335" w:type="dxa"/>
            <w:tcMar>
              <w:top w:w="0" w:type="dxa"/>
              <w:left w:w="115" w:type="dxa"/>
              <w:bottom w:w="0" w:type="dxa"/>
              <w:right w:w="115" w:type="dxa"/>
            </w:tcMar>
          </w:tcPr>
          <w:p w14:paraId="7B1AF60D" w14:textId="049D6828" w:rsidR="00051E5C" w:rsidRDefault="00051E5C" w:rsidP="005A34D2">
            <w:pPr>
              <w:suppressAutoHyphens/>
              <w:spacing w:line="240" w:lineRule="auto"/>
              <w:contextualSpacing/>
              <w:rPr>
                <w:rFonts w:ascii="Calibri" w:hAnsi="Calibri" w:cs="Calibri"/>
                <w:iCs/>
              </w:rPr>
            </w:pPr>
            <w:r>
              <w:rPr>
                <w:rFonts w:ascii="Calibri" w:hAnsi="Calibri" w:cs="Calibri"/>
                <w:iCs/>
              </w:rPr>
              <w:t>Standard Deviation</w:t>
            </w:r>
          </w:p>
        </w:tc>
        <w:tc>
          <w:tcPr>
            <w:tcW w:w="3900" w:type="dxa"/>
            <w:tcMar>
              <w:top w:w="0" w:type="dxa"/>
              <w:left w:w="115" w:type="dxa"/>
              <w:bottom w:w="0" w:type="dxa"/>
              <w:right w:w="115" w:type="dxa"/>
            </w:tcMar>
          </w:tcPr>
          <w:p w14:paraId="545E538C" w14:textId="22F239CA" w:rsidR="00051E5C" w:rsidRDefault="00051E5C" w:rsidP="005A34D2">
            <w:pPr>
              <w:suppressAutoHyphens/>
              <w:spacing w:line="240" w:lineRule="auto"/>
              <w:contextualSpacing/>
              <w:rPr>
                <w:rFonts w:ascii="Calibri" w:hAnsi="Calibri" w:cs="Calibri"/>
                <w:iCs/>
              </w:rPr>
            </w:pPr>
            <w:r>
              <w:rPr>
                <w:rFonts w:ascii="Calibri" w:hAnsi="Calibri" w:cs="Calibri"/>
                <w:iCs/>
              </w:rPr>
              <w:t>11.1</w:t>
            </w:r>
          </w:p>
        </w:tc>
      </w:tr>
    </w:tbl>
    <w:p w14:paraId="0CD839B0" w14:textId="77777777" w:rsidR="00051E5C" w:rsidRDefault="00051E5C" w:rsidP="00051E5C">
      <w:pPr>
        <w:suppressAutoHyphens/>
        <w:spacing w:line="240" w:lineRule="auto"/>
        <w:contextualSpacing/>
        <w:rPr>
          <w:rFonts w:ascii="Calibri" w:hAnsi="Calibri" w:cs="Calibri"/>
          <w:iCs/>
          <w:lang w:val="en-US"/>
        </w:rPr>
      </w:pPr>
    </w:p>
    <w:p w14:paraId="7197E91C" w14:textId="5E29CF28" w:rsidR="00051E5C" w:rsidRPr="00051E5C" w:rsidRDefault="00051E5C" w:rsidP="00051E5C">
      <w:pPr>
        <w:suppressAutoHyphens/>
        <w:spacing w:line="240" w:lineRule="auto"/>
        <w:contextualSpacing/>
        <w:rPr>
          <w:rFonts w:ascii="Calibri" w:hAnsi="Calibri" w:cs="Calibri"/>
          <w:iCs/>
          <w:lang w:val="en-US"/>
        </w:rPr>
      </w:pPr>
      <w:r w:rsidRPr="00051E5C">
        <w:rPr>
          <w:rFonts w:ascii="Calibri" w:hAnsi="Calibri" w:cs="Calibri"/>
          <w:iCs/>
          <w:lang w:val="en-US"/>
        </w:rPr>
        <w:t>Measures of central tendency (mean and median) provide insights into the typical points scored by the team in home games. The mean and median are close, suggesting a symmetric distribution. The variability, as indicated by the standard deviation and variance, shows moderate consistency in the points scored by the team at home.</w:t>
      </w:r>
      <w:r>
        <w:rPr>
          <w:rFonts w:ascii="Calibri" w:hAnsi="Calibri" w:cs="Calibri"/>
          <w:iCs/>
          <w:lang w:val="en-US"/>
        </w:rPr>
        <w:br/>
      </w:r>
    </w:p>
    <w:p w14:paraId="6BD6BC3F" w14:textId="77777777" w:rsidR="00051E5C" w:rsidRPr="00051E5C" w:rsidRDefault="00051E5C" w:rsidP="00051E5C">
      <w:pPr>
        <w:suppressAutoHyphens/>
        <w:spacing w:line="240" w:lineRule="auto"/>
        <w:contextualSpacing/>
        <w:rPr>
          <w:rFonts w:ascii="Calibri" w:hAnsi="Calibri" w:cs="Calibri"/>
          <w:iCs/>
          <w:lang w:val="en-US"/>
        </w:rPr>
      </w:pPr>
      <w:r w:rsidRPr="00051E5C">
        <w:rPr>
          <w:rFonts w:ascii="Calibri" w:hAnsi="Calibri" w:cs="Calibri"/>
          <w:iCs/>
          <w:lang w:val="en-US"/>
        </w:rPr>
        <w:t>The distribution of points scored in home games appears bell-shaped. Based on this skewness, the mean is an appropriate measure of central tendency to represent the data.</w:t>
      </w:r>
    </w:p>
    <w:p w14:paraId="322AA1E1" w14:textId="0D7FEF13" w:rsidR="00BF3D91" w:rsidRDefault="00BF3D91" w:rsidP="00BF3D91">
      <w:pPr>
        <w:suppressAutoHyphens/>
        <w:spacing w:line="240" w:lineRule="auto"/>
        <w:rPr>
          <w:rFonts w:ascii="Calibri" w:hAnsi="Calibri" w:cs="Calibri"/>
          <w:i/>
          <w:lang w:val="en-US"/>
        </w:rPr>
      </w:pPr>
      <w:r w:rsidRPr="0036619D">
        <w:rPr>
          <w:rFonts w:ascii="Calibri" w:hAnsi="Calibri" w:cs="Calibri"/>
          <w:i/>
          <w:lang w:val="en-US"/>
        </w:rPr>
        <w:pict w14:anchorId="15CDA6AD">
          <v:rect id="_x0000_i1045" style="width:0;height:1.5pt" o:hralign="center" o:hrstd="t" o:hr="t" fillcolor="#a0a0a0" stroked="f"/>
        </w:pict>
      </w: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77777777"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736A43CD" w14:textId="77777777" w:rsidR="00DB716F" w:rsidRPr="00051E5C" w:rsidRDefault="00314B53" w:rsidP="00051E5C">
      <w:pPr>
        <w:suppressAutoHyphens/>
        <w:spacing w:line="240" w:lineRule="auto"/>
        <w:contextualSpacing/>
        <w:jc w:val="center"/>
        <w:rPr>
          <w:rFonts w:ascii="Calibri" w:hAnsi="Calibri" w:cs="Calibri"/>
          <w:b/>
          <w:bCs/>
        </w:rPr>
      </w:pPr>
      <w:r w:rsidRPr="00051E5C">
        <w:rPr>
          <w:rFonts w:ascii="Calibri" w:hAnsi="Calibri" w:cs="Calibri"/>
          <w:b/>
          <w:bCs/>
        </w:rPr>
        <w:t xml:space="preserve">Table 3. </w:t>
      </w:r>
      <w:r w:rsidR="009C2363" w:rsidRPr="00051E5C">
        <w:rPr>
          <w:rFonts w:ascii="Calibri" w:hAnsi="Calibri" w:cs="Calibri"/>
          <w:b/>
          <w:bCs/>
        </w:rPr>
        <w:t>Descriptive Statistics for Points Scored by Your Team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051E5C" w:rsidRPr="005A34D2" w14:paraId="7C2CA5FF" w14:textId="77777777" w:rsidTr="00A30DF0">
        <w:trPr>
          <w:tblHeader/>
        </w:trPr>
        <w:tc>
          <w:tcPr>
            <w:tcW w:w="4335" w:type="dxa"/>
            <w:shd w:val="clear" w:color="auto" w:fill="DAEEF3" w:themeFill="accent5" w:themeFillTint="33"/>
            <w:tcMar>
              <w:top w:w="0" w:type="dxa"/>
              <w:left w:w="115" w:type="dxa"/>
              <w:bottom w:w="0" w:type="dxa"/>
              <w:right w:w="115" w:type="dxa"/>
            </w:tcMar>
          </w:tcPr>
          <w:p w14:paraId="0D62A336" w14:textId="77777777" w:rsidR="00051E5C" w:rsidRPr="005A34D2" w:rsidRDefault="00051E5C" w:rsidP="00A30DF0">
            <w:pPr>
              <w:suppressAutoHyphens/>
              <w:spacing w:line="240" w:lineRule="auto"/>
              <w:contextualSpacing/>
              <w:rPr>
                <w:rFonts w:ascii="Calibri" w:hAnsi="Calibri" w:cs="Calibri"/>
                <w:b/>
              </w:rPr>
            </w:pPr>
            <w:r>
              <w:rPr>
                <w:rFonts w:ascii="Calibri" w:hAnsi="Calibri" w:cs="Calibri"/>
                <w:b/>
              </w:rPr>
              <w:t>Statistic Name</w:t>
            </w:r>
          </w:p>
        </w:tc>
        <w:tc>
          <w:tcPr>
            <w:tcW w:w="3900" w:type="dxa"/>
            <w:shd w:val="clear" w:color="auto" w:fill="DAEEF3" w:themeFill="accent5" w:themeFillTint="33"/>
            <w:tcMar>
              <w:top w:w="0" w:type="dxa"/>
              <w:left w:w="115" w:type="dxa"/>
              <w:bottom w:w="0" w:type="dxa"/>
              <w:right w:w="115" w:type="dxa"/>
            </w:tcMar>
          </w:tcPr>
          <w:p w14:paraId="1C1C13B4" w14:textId="77777777" w:rsidR="00051E5C" w:rsidRPr="005A34D2" w:rsidRDefault="00051E5C" w:rsidP="00A30DF0">
            <w:pPr>
              <w:suppressAutoHyphens/>
              <w:spacing w:line="240" w:lineRule="auto"/>
              <w:contextualSpacing/>
              <w:rPr>
                <w:rFonts w:ascii="Calibri" w:hAnsi="Calibri" w:cs="Calibri"/>
                <w:b/>
              </w:rPr>
            </w:pPr>
            <w:r w:rsidRPr="005A34D2">
              <w:rPr>
                <w:rFonts w:ascii="Calibri" w:hAnsi="Calibri" w:cs="Calibri"/>
                <w:b/>
              </w:rPr>
              <w:t>Value</w:t>
            </w:r>
          </w:p>
        </w:tc>
      </w:tr>
      <w:tr w:rsidR="00051E5C" w:rsidRPr="005A34D2" w14:paraId="7CAF6001" w14:textId="77777777" w:rsidTr="00A30DF0">
        <w:trPr>
          <w:tblHeader/>
        </w:trPr>
        <w:tc>
          <w:tcPr>
            <w:tcW w:w="4335" w:type="dxa"/>
            <w:tcMar>
              <w:top w:w="0" w:type="dxa"/>
              <w:left w:w="115" w:type="dxa"/>
              <w:bottom w:w="0" w:type="dxa"/>
              <w:right w:w="115" w:type="dxa"/>
            </w:tcMar>
          </w:tcPr>
          <w:p w14:paraId="57E91E06" w14:textId="77777777" w:rsidR="00051E5C" w:rsidRPr="00051E5C" w:rsidRDefault="00051E5C" w:rsidP="00A30DF0">
            <w:pPr>
              <w:suppressAutoHyphens/>
              <w:spacing w:line="240" w:lineRule="auto"/>
              <w:contextualSpacing/>
              <w:rPr>
                <w:rFonts w:ascii="Calibri" w:hAnsi="Calibri" w:cs="Calibri"/>
                <w:iCs/>
              </w:rPr>
            </w:pPr>
            <w:r>
              <w:rPr>
                <w:rFonts w:ascii="Calibri" w:hAnsi="Calibri" w:cs="Calibri"/>
                <w:iCs/>
              </w:rPr>
              <w:t>Mean</w:t>
            </w:r>
          </w:p>
        </w:tc>
        <w:tc>
          <w:tcPr>
            <w:tcW w:w="3900" w:type="dxa"/>
            <w:tcMar>
              <w:top w:w="0" w:type="dxa"/>
              <w:left w:w="115" w:type="dxa"/>
              <w:bottom w:w="0" w:type="dxa"/>
              <w:right w:w="115" w:type="dxa"/>
            </w:tcMar>
          </w:tcPr>
          <w:p w14:paraId="2531A5B9" w14:textId="129F16B5" w:rsidR="00051E5C" w:rsidRPr="00051E5C" w:rsidRDefault="00051E5C" w:rsidP="00A30DF0">
            <w:pPr>
              <w:suppressAutoHyphens/>
              <w:spacing w:line="240" w:lineRule="auto"/>
              <w:contextualSpacing/>
              <w:rPr>
                <w:rFonts w:ascii="Calibri" w:hAnsi="Calibri" w:cs="Calibri"/>
                <w:iCs/>
              </w:rPr>
            </w:pPr>
            <w:r>
              <w:rPr>
                <w:rFonts w:ascii="Calibri" w:hAnsi="Calibri" w:cs="Calibri"/>
                <w:iCs/>
              </w:rPr>
              <w:t>103.52</w:t>
            </w:r>
          </w:p>
        </w:tc>
      </w:tr>
      <w:tr w:rsidR="00051E5C" w:rsidRPr="005A34D2" w14:paraId="18485E41" w14:textId="77777777" w:rsidTr="00A30DF0">
        <w:trPr>
          <w:tblHeader/>
        </w:trPr>
        <w:tc>
          <w:tcPr>
            <w:tcW w:w="4335" w:type="dxa"/>
            <w:tcMar>
              <w:top w:w="0" w:type="dxa"/>
              <w:left w:w="115" w:type="dxa"/>
              <w:bottom w:w="0" w:type="dxa"/>
              <w:right w:w="115" w:type="dxa"/>
            </w:tcMar>
          </w:tcPr>
          <w:p w14:paraId="6F02F03C" w14:textId="77777777" w:rsidR="00051E5C" w:rsidRDefault="00051E5C" w:rsidP="00A30DF0">
            <w:pPr>
              <w:suppressAutoHyphens/>
              <w:spacing w:line="240" w:lineRule="auto"/>
              <w:contextualSpacing/>
              <w:rPr>
                <w:rFonts w:ascii="Calibri" w:hAnsi="Calibri" w:cs="Calibri"/>
                <w:iCs/>
              </w:rPr>
            </w:pPr>
            <w:r>
              <w:rPr>
                <w:rFonts w:ascii="Calibri" w:hAnsi="Calibri" w:cs="Calibri"/>
                <w:iCs/>
              </w:rPr>
              <w:t>Median</w:t>
            </w:r>
          </w:p>
        </w:tc>
        <w:tc>
          <w:tcPr>
            <w:tcW w:w="3900" w:type="dxa"/>
            <w:tcMar>
              <w:top w:w="0" w:type="dxa"/>
              <w:left w:w="115" w:type="dxa"/>
              <w:bottom w:w="0" w:type="dxa"/>
              <w:right w:w="115" w:type="dxa"/>
            </w:tcMar>
          </w:tcPr>
          <w:p w14:paraId="5EC720F6" w14:textId="1227AFF1" w:rsidR="00051E5C" w:rsidRDefault="00051E5C" w:rsidP="00A30DF0">
            <w:pPr>
              <w:suppressAutoHyphens/>
              <w:spacing w:line="240" w:lineRule="auto"/>
              <w:contextualSpacing/>
              <w:rPr>
                <w:rFonts w:ascii="Calibri" w:hAnsi="Calibri" w:cs="Calibri"/>
                <w:iCs/>
              </w:rPr>
            </w:pPr>
            <w:r>
              <w:rPr>
                <w:rFonts w:ascii="Calibri" w:hAnsi="Calibri" w:cs="Calibri"/>
                <w:iCs/>
              </w:rPr>
              <w:t>10</w:t>
            </w:r>
            <w:r>
              <w:rPr>
                <w:rFonts w:ascii="Calibri" w:hAnsi="Calibri" w:cs="Calibri"/>
                <w:iCs/>
              </w:rPr>
              <w:t>3.0</w:t>
            </w:r>
          </w:p>
        </w:tc>
      </w:tr>
      <w:tr w:rsidR="00051E5C" w:rsidRPr="005A34D2" w14:paraId="666CCAB1" w14:textId="77777777" w:rsidTr="00A30DF0">
        <w:trPr>
          <w:tblHeader/>
        </w:trPr>
        <w:tc>
          <w:tcPr>
            <w:tcW w:w="4335" w:type="dxa"/>
            <w:tcMar>
              <w:top w:w="0" w:type="dxa"/>
              <w:left w:w="115" w:type="dxa"/>
              <w:bottom w:w="0" w:type="dxa"/>
              <w:right w:w="115" w:type="dxa"/>
            </w:tcMar>
          </w:tcPr>
          <w:p w14:paraId="2B5491C5" w14:textId="77777777" w:rsidR="00051E5C" w:rsidRDefault="00051E5C" w:rsidP="00A30DF0">
            <w:pPr>
              <w:suppressAutoHyphens/>
              <w:spacing w:line="240" w:lineRule="auto"/>
              <w:contextualSpacing/>
              <w:rPr>
                <w:rFonts w:ascii="Calibri" w:hAnsi="Calibri" w:cs="Calibri"/>
                <w:iCs/>
              </w:rPr>
            </w:pPr>
            <w:r>
              <w:rPr>
                <w:rFonts w:ascii="Calibri" w:hAnsi="Calibri" w:cs="Calibri"/>
                <w:iCs/>
              </w:rPr>
              <w:t>Variance</w:t>
            </w:r>
          </w:p>
        </w:tc>
        <w:tc>
          <w:tcPr>
            <w:tcW w:w="3900" w:type="dxa"/>
            <w:tcMar>
              <w:top w:w="0" w:type="dxa"/>
              <w:left w:w="115" w:type="dxa"/>
              <w:bottom w:w="0" w:type="dxa"/>
              <w:right w:w="115" w:type="dxa"/>
            </w:tcMar>
          </w:tcPr>
          <w:p w14:paraId="66690835" w14:textId="267159C5" w:rsidR="00051E5C" w:rsidRDefault="00051E5C" w:rsidP="00A30DF0">
            <w:pPr>
              <w:suppressAutoHyphens/>
              <w:spacing w:line="240" w:lineRule="auto"/>
              <w:contextualSpacing/>
              <w:rPr>
                <w:rFonts w:ascii="Calibri" w:hAnsi="Calibri" w:cs="Calibri"/>
                <w:iCs/>
              </w:rPr>
            </w:pPr>
            <w:r>
              <w:rPr>
                <w:rFonts w:ascii="Calibri" w:hAnsi="Calibri" w:cs="Calibri"/>
                <w:iCs/>
              </w:rPr>
              <w:t>1</w:t>
            </w:r>
            <w:r>
              <w:rPr>
                <w:rFonts w:ascii="Calibri" w:hAnsi="Calibri" w:cs="Calibri"/>
                <w:iCs/>
              </w:rPr>
              <w:t>31.76</w:t>
            </w:r>
          </w:p>
        </w:tc>
      </w:tr>
      <w:tr w:rsidR="00051E5C" w:rsidRPr="005A34D2" w14:paraId="0DE62AF2" w14:textId="77777777" w:rsidTr="00A30DF0">
        <w:trPr>
          <w:tblHeader/>
        </w:trPr>
        <w:tc>
          <w:tcPr>
            <w:tcW w:w="4335" w:type="dxa"/>
            <w:tcMar>
              <w:top w:w="0" w:type="dxa"/>
              <w:left w:w="115" w:type="dxa"/>
              <w:bottom w:w="0" w:type="dxa"/>
              <w:right w:w="115" w:type="dxa"/>
            </w:tcMar>
          </w:tcPr>
          <w:p w14:paraId="76A8E8A6" w14:textId="77777777" w:rsidR="00051E5C" w:rsidRDefault="00051E5C" w:rsidP="00A30DF0">
            <w:pPr>
              <w:suppressAutoHyphens/>
              <w:spacing w:line="240" w:lineRule="auto"/>
              <w:contextualSpacing/>
              <w:rPr>
                <w:rFonts w:ascii="Calibri" w:hAnsi="Calibri" w:cs="Calibri"/>
                <w:iCs/>
              </w:rPr>
            </w:pPr>
            <w:r>
              <w:rPr>
                <w:rFonts w:ascii="Calibri" w:hAnsi="Calibri" w:cs="Calibri"/>
                <w:iCs/>
              </w:rPr>
              <w:t>Standard Deviation</w:t>
            </w:r>
          </w:p>
        </w:tc>
        <w:tc>
          <w:tcPr>
            <w:tcW w:w="3900" w:type="dxa"/>
            <w:tcMar>
              <w:top w:w="0" w:type="dxa"/>
              <w:left w:w="115" w:type="dxa"/>
              <w:bottom w:w="0" w:type="dxa"/>
              <w:right w:w="115" w:type="dxa"/>
            </w:tcMar>
          </w:tcPr>
          <w:p w14:paraId="48F22E47" w14:textId="542435EA" w:rsidR="00051E5C" w:rsidRDefault="00051E5C" w:rsidP="00A30DF0">
            <w:pPr>
              <w:suppressAutoHyphens/>
              <w:spacing w:line="240" w:lineRule="auto"/>
              <w:contextualSpacing/>
              <w:rPr>
                <w:rFonts w:ascii="Calibri" w:hAnsi="Calibri" w:cs="Calibri"/>
                <w:iCs/>
              </w:rPr>
            </w:pPr>
            <w:r>
              <w:rPr>
                <w:rFonts w:ascii="Calibri" w:hAnsi="Calibri" w:cs="Calibri"/>
                <w:iCs/>
              </w:rPr>
              <w:t>11.</w:t>
            </w:r>
            <w:r>
              <w:rPr>
                <w:rFonts w:ascii="Calibri" w:hAnsi="Calibri" w:cs="Calibri"/>
                <w:iCs/>
              </w:rPr>
              <w:t>48</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41847412" w14:textId="37986237" w:rsidR="00051E5C" w:rsidRPr="00051E5C" w:rsidRDefault="00051E5C" w:rsidP="00051E5C">
      <w:pPr>
        <w:suppressAutoHyphens/>
        <w:spacing w:line="240" w:lineRule="auto"/>
        <w:contextualSpacing/>
        <w:rPr>
          <w:rFonts w:ascii="Calibri" w:hAnsi="Calibri" w:cs="Calibri"/>
          <w:iCs/>
          <w:lang w:val="en-US"/>
        </w:rPr>
      </w:pPr>
      <w:r w:rsidRPr="00051E5C">
        <w:rPr>
          <w:rFonts w:ascii="Calibri" w:hAnsi="Calibri" w:cs="Calibri"/>
          <w:iCs/>
          <w:lang w:val="en-US"/>
        </w:rPr>
        <w:t xml:space="preserve">The mean and median for away games indicate a similar central tendency, suggesting a symmetric distribution. The distribution appears bell-shaped, and the mean is an appropriate measure of central tendency. Comparing home and away games, the team performs better at home, as evidenced by the higher mean and slightly lower standard deviation, indicating more consistent </w:t>
      </w:r>
      <w:r w:rsidRPr="00051E5C">
        <w:rPr>
          <w:rFonts w:ascii="Calibri" w:hAnsi="Calibri" w:cs="Calibri"/>
          <w:iCs/>
          <w:lang w:val="en-US"/>
        </w:rPr>
        <w:t>scores</w:t>
      </w:r>
      <w:r w:rsidRPr="00051E5C">
        <w:rPr>
          <w:rFonts w:ascii="Calibri" w:hAnsi="Calibri" w:cs="Calibri"/>
          <w:iCs/>
          <w:lang w:val="en-US"/>
        </w:rPr>
        <w:t xml:space="preserve"> at home.</w:t>
      </w:r>
    </w:p>
    <w:p w14:paraId="2CA400A9" w14:textId="40A30848" w:rsidR="00BF3D91" w:rsidRDefault="00BF3D91" w:rsidP="002D755F">
      <w:pPr>
        <w:suppressAutoHyphens/>
        <w:spacing w:line="240" w:lineRule="auto"/>
        <w:contextualSpacing/>
        <w:rPr>
          <w:rFonts w:ascii="Calibri" w:hAnsi="Calibri" w:cs="Calibri"/>
          <w:i/>
          <w:lang w:val="en-US"/>
        </w:rPr>
      </w:pPr>
      <w:r w:rsidRPr="0036619D">
        <w:rPr>
          <w:rFonts w:ascii="Calibri" w:hAnsi="Calibri" w:cs="Calibri"/>
          <w:i/>
          <w:lang w:val="en-US"/>
        </w:rPr>
        <w:pict w14:anchorId="2ABA1ACE">
          <v:rect id="_x0000_i1046" style="width:0;height:1.5pt" o:hralign="center" o:hrstd="t" o:hr="t" fillcolor="#a0a0a0" stroked="f"/>
        </w:pict>
      </w:r>
    </w:p>
    <w:p w14:paraId="1CD1BCFA" w14:textId="77777777" w:rsidR="00BF3D91" w:rsidRPr="005A34D2" w:rsidRDefault="00BF3D91"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7819864F" w14:textId="77777777" w:rsidR="00DB716F" w:rsidRPr="005F06EE" w:rsidRDefault="00314B53" w:rsidP="005A34D2">
      <w:pPr>
        <w:suppressAutoHyphens/>
        <w:spacing w:line="240" w:lineRule="auto"/>
        <w:contextualSpacing/>
        <w:jc w:val="center"/>
        <w:rPr>
          <w:rFonts w:ascii="Calibri" w:hAnsi="Calibri" w:cs="Calibri"/>
          <w:b/>
          <w:bCs/>
        </w:rPr>
      </w:pPr>
      <w:r w:rsidRPr="005F06EE">
        <w:rPr>
          <w:rFonts w:ascii="Calibri" w:hAnsi="Calibri" w:cs="Calibri"/>
          <w:b/>
          <w:bCs/>
        </w:rPr>
        <w:t xml:space="preserve">Table 4. Confidence Interval for </w:t>
      </w:r>
      <w:r w:rsidR="00ED491F" w:rsidRPr="005F06EE">
        <w:rPr>
          <w:rFonts w:ascii="Calibri" w:hAnsi="Calibri" w:cs="Calibri"/>
          <w:b/>
          <w:bCs/>
        </w:rPr>
        <w:t>A</w:t>
      </w:r>
      <w:r w:rsidRPr="005F06EE">
        <w:rPr>
          <w:rFonts w:ascii="Calibri" w:hAnsi="Calibri" w:cs="Calibri"/>
          <w:b/>
          <w:bCs/>
        </w:rPr>
        <w:t xml:space="preserve">verage Relative Skill of Teams in </w:t>
      </w:r>
      <w:r w:rsidR="00551F53" w:rsidRPr="005F06EE">
        <w:rPr>
          <w:rFonts w:ascii="Calibri" w:hAnsi="Calibri" w:cs="Calibri"/>
          <w:b/>
          <w:bCs/>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5F06EE">
        <w:trPr>
          <w:tblHeader/>
          <w:jc w:val="center"/>
        </w:trPr>
        <w:tc>
          <w:tcPr>
            <w:tcW w:w="2640" w:type="dxa"/>
            <w:shd w:val="clear" w:color="auto" w:fill="DAEEF3" w:themeFill="accent5" w:themeFillTint="33"/>
            <w:tcMar>
              <w:top w:w="0" w:type="dxa"/>
              <w:left w:w="115" w:type="dxa"/>
              <w:bottom w:w="0" w:type="dxa"/>
              <w:right w:w="115" w:type="dxa"/>
            </w:tcMar>
          </w:tcPr>
          <w:p w14:paraId="3DC6C823" w14:textId="77777777" w:rsidR="00DB716F" w:rsidRPr="005A34D2" w:rsidRDefault="00314B53" w:rsidP="005F06EE">
            <w:pPr>
              <w:suppressAutoHyphens/>
              <w:spacing w:line="240" w:lineRule="auto"/>
              <w:contextualSpacing/>
              <w:jc w:val="center"/>
              <w:rPr>
                <w:rFonts w:ascii="Calibri" w:hAnsi="Calibri" w:cs="Calibri"/>
                <w:b/>
              </w:rPr>
            </w:pPr>
            <w:r w:rsidRPr="005A34D2">
              <w:rPr>
                <w:rFonts w:ascii="Calibri" w:hAnsi="Calibri" w:cs="Calibri"/>
                <w:b/>
              </w:rPr>
              <w:t>Confidence Level (%)</w:t>
            </w:r>
          </w:p>
        </w:tc>
        <w:tc>
          <w:tcPr>
            <w:tcW w:w="6000" w:type="dxa"/>
            <w:shd w:val="clear" w:color="auto" w:fill="DAEEF3" w:themeFill="accent5" w:themeFillTint="33"/>
            <w:tcMar>
              <w:top w:w="0" w:type="dxa"/>
              <w:left w:w="115" w:type="dxa"/>
              <w:bottom w:w="0" w:type="dxa"/>
              <w:right w:w="115" w:type="dxa"/>
            </w:tcMar>
          </w:tcPr>
          <w:p w14:paraId="0DF8ABF4" w14:textId="77777777" w:rsidR="00DB716F" w:rsidRPr="005A34D2" w:rsidRDefault="00314B53" w:rsidP="005F06EE">
            <w:pPr>
              <w:suppressAutoHyphens/>
              <w:spacing w:line="240" w:lineRule="auto"/>
              <w:contextualSpacing/>
              <w:jc w:val="center"/>
              <w:rPr>
                <w:rFonts w:ascii="Calibri" w:hAnsi="Calibri" w:cs="Calibri"/>
                <w:b/>
              </w:rPr>
            </w:pPr>
            <w:r w:rsidRPr="005A34D2">
              <w:rPr>
                <w:rFonts w:ascii="Calibri" w:hAnsi="Calibri" w:cs="Calibri"/>
                <w:b/>
              </w:rPr>
              <w:t>Confidence Interval</w:t>
            </w:r>
          </w:p>
        </w:tc>
      </w:tr>
      <w:tr w:rsidR="009B6796" w:rsidRPr="005A34D2" w14:paraId="22BB8111" w14:textId="77777777" w:rsidTr="005F06EE">
        <w:trPr>
          <w:tblHeader/>
          <w:jc w:val="center"/>
        </w:trPr>
        <w:tc>
          <w:tcPr>
            <w:tcW w:w="2640" w:type="dxa"/>
            <w:tcMar>
              <w:top w:w="0" w:type="dxa"/>
              <w:left w:w="115" w:type="dxa"/>
              <w:bottom w:w="0" w:type="dxa"/>
              <w:right w:w="115" w:type="dxa"/>
            </w:tcMar>
          </w:tcPr>
          <w:p w14:paraId="6E9AD26E" w14:textId="3A47AAAF" w:rsidR="00DB716F" w:rsidRPr="005A34D2" w:rsidRDefault="005F06EE" w:rsidP="005F06EE">
            <w:pPr>
              <w:suppressAutoHyphens/>
              <w:spacing w:line="240" w:lineRule="auto"/>
              <w:contextualSpacing/>
              <w:jc w:val="center"/>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27DB4A3B" w14:textId="405F1EC7" w:rsidR="00DB716F" w:rsidRPr="005A34D2" w:rsidRDefault="005F06EE" w:rsidP="005F06EE">
            <w:pPr>
              <w:suppressAutoHyphens/>
              <w:spacing w:line="240" w:lineRule="auto"/>
              <w:contextualSpacing/>
              <w:jc w:val="center"/>
              <w:rPr>
                <w:rFonts w:ascii="Calibri" w:hAnsi="Calibri" w:cs="Calibri"/>
                <w:i/>
              </w:rPr>
            </w:pPr>
            <w:r>
              <w:rPr>
                <w:rFonts w:ascii="Calibri" w:hAnsi="Calibri" w:cs="Calibri"/>
              </w:rPr>
              <w:t>(1502.02, 1507.18)</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18290CCA" w14:textId="55B61794" w:rsidR="005F06EE" w:rsidRPr="005F06EE" w:rsidRDefault="005F06EE" w:rsidP="005F06EE">
      <w:pPr>
        <w:suppressAutoHyphens/>
        <w:spacing w:line="240" w:lineRule="auto"/>
        <w:contextualSpacing/>
        <w:rPr>
          <w:rFonts w:ascii="Calibri" w:hAnsi="Calibri" w:cs="Calibri"/>
          <w:iCs/>
          <w:lang w:val="en-US"/>
        </w:rPr>
      </w:pPr>
      <w:r w:rsidRPr="005F06EE">
        <w:rPr>
          <w:rFonts w:ascii="Calibri" w:hAnsi="Calibri" w:cs="Calibri"/>
          <w:iCs/>
          <w:lang w:val="en-US"/>
        </w:rPr>
        <w:t xml:space="preserve">Confidence intervals estimate the range within which the true population parameter is likely to fall. For the years 2013–2015, we are 95% confident that the average relative skill of all teams lies between </w:t>
      </w:r>
      <w:r w:rsidRPr="005F06EE">
        <w:rPr>
          <w:rFonts w:ascii="Calibri" w:hAnsi="Calibri" w:cs="Calibri"/>
          <w:iCs/>
          <w:lang w:val="en-US"/>
        </w:rPr>
        <w:lastRenderedPageBreak/>
        <w:t>1502.02 and 1507.18.</w:t>
      </w:r>
      <w:r>
        <w:rPr>
          <w:rFonts w:ascii="Calibri" w:hAnsi="Calibri" w:cs="Calibri"/>
          <w:iCs/>
          <w:lang w:val="en-US"/>
        </w:rPr>
        <w:br/>
      </w:r>
    </w:p>
    <w:p w14:paraId="79DC5036" w14:textId="77777777" w:rsidR="005F06EE" w:rsidRPr="005F06EE" w:rsidRDefault="005F06EE" w:rsidP="005F06EE">
      <w:pPr>
        <w:suppressAutoHyphens/>
        <w:spacing w:line="240" w:lineRule="auto"/>
        <w:contextualSpacing/>
        <w:rPr>
          <w:rFonts w:ascii="Calibri" w:hAnsi="Calibri" w:cs="Calibri"/>
          <w:iCs/>
          <w:lang w:val="en-US"/>
        </w:rPr>
      </w:pPr>
      <w:r w:rsidRPr="005F06EE">
        <w:rPr>
          <w:rFonts w:ascii="Calibri" w:hAnsi="Calibri" w:cs="Calibri"/>
          <w:iCs/>
          <w:lang w:val="en-US"/>
        </w:rPr>
        <w:t>If a different confidence level were used, such as 99%, the interval would be wider, reflecting increased uncertainty. The probability that a team has a skill level less than the Dallas Mavericks is 0.45, indicating that nearly half the teams in the league had a relative skill level below the Mavericks during this period.</w:t>
      </w:r>
    </w:p>
    <w:p w14:paraId="17731265" w14:textId="77777777" w:rsidR="002D755F" w:rsidRDefault="002D755F" w:rsidP="005A34D2">
      <w:pPr>
        <w:suppressAutoHyphens/>
        <w:spacing w:line="240" w:lineRule="auto"/>
        <w:contextualSpacing/>
        <w:rPr>
          <w:rFonts w:ascii="Calibri" w:hAnsi="Calibri" w:cs="Calibri"/>
          <w:i/>
        </w:rPr>
      </w:pPr>
    </w:p>
    <w:p w14:paraId="0C45EBE5" w14:textId="0D739A92" w:rsidR="00BF3D91" w:rsidRDefault="00BF3D91" w:rsidP="005A34D2">
      <w:pPr>
        <w:suppressAutoHyphens/>
        <w:spacing w:line="240" w:lineRule="auto"/>
        <w:contextualSpacing/>
        <w:rPr>
          <w:rFonts w:ascii="Calibri" w:hAnsi="Calibri" w:cs="Calibri"/>
          <w:i/>
          <w:lang w:val="en-US"/>
        </w:rPr>
      </w:pPr>
      <w:r w:rsidRPr="0036619D">
        <w:rPr>
          <w:rFonts w:ascii="Calibri" w:hAnsi="Calibri" w:cs="Calibri"/>
          <w:i/>
          <w:lang w:val="en-US"/>
        </w:rPr>
        <w:pict w14:anchorId="71776BE8">
          <v:rect id="_x0000_i1047" style="width:0;height:1.5pt" o:hralign="center" o:hrstd="t" o:hr="t" fillcolor="#a0a0a0" stroked="f"/>
        </w:pict>
      </w:r>
    </w:p>
    <w:p w14:paraId="681B3C3E" w14:textId="77777777" w:rsidR="00BF3D91" w:rsidRPr="005A34D2" w:rsidRDefault="00BF3D91"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2B3DF65A" w14:textId="77777777" w:rsidR="00DB716F" w:rsidRPr="005F06EE" w:rsidRDefault="00314B53" w:rsidP="005A34D2">
      <w:pPr>
        <w:suppressAutoHyphens/>
        <w:spacing w:line="240" w:lineRule="auto"/>
        <w:contextualSpacing/>
        <w:jc w:val="center"/>
        <w:rPr>
          <w:rFonts w:ascii="Calibri" w:hAnsi="Calibri" w:cs="Calibri"/>
          <w:b/>
          <w:bCs/>
        </w:rPr>
      </w:pPr>
      <w:r w:rsidRPr="005F06EE">
        <w:rPr>
          <w:rFonts w:ascii="Calibri" w:hAnsi="Calibri" w:cs="Calibri"/>
          <w:b/>
          <w:bCs/>
        </w:rPr>
        <w:t xml:space="preserve">Table 5. Confidence Interval for </w:t>
      </w:r>
      <w:r w:rsidR="001D3FD5" w:rsidRPr="005F06EE">
        <w:rPr>
          <w:rFonts w:ascii="Calibri" w:hAnsi="Calibri" w:cs="Calibri"/>
          <w:b/>
          <w:bCs/>
        </w:rPr>
        <w:t>A</w:t>
      </w:r>
      <w:r w:rsidRPr="005F06EE">
        <w:rPr>
          <w:rFonts w:ascii="Calibri" w:hAnsi="Calibri" w:cs="Calibri"/>
          <w:b/>
          <w:bCs/>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5F06EE">
        <w:trPr>
          <w:tblHeader/>
          <w:jc w:val="center"/>
        </w:trPr>
        <w:tc>
          <w:tcPr>
            <w:tcW w:w="2640" w:type="dxa"/>
            <w:shd w:val="clear" w:color="auto" w:fill="DAEEF3" w:themeFill="accent5" w:themeFillTint="33"/>
            <w:tcMar>
              <w:top w:w="0" w:type="dxa"/>
              <w:left w:w="115" w:type="dxa"/>
              <w:bottom w:w="0" w:type="dxa"/>
              <w:right w:w="115" w:type="dxa"/>
            </w:tcMar>
          </w:tcPr>
          <w:p w14:paraId="1913D96F" w14:textId="77777777" w:rsidR="00DB716F" w:rsidRPr="005A34D2" w:rsidRDefault="00314B53" w:rsidP="005F06EE">
            <w:pPr>
              <w:suppressAutoHyphens/>
              <w:spacing w:line="240" w:lineRule="auto"/>
              <w:contextualSpacing/>
              <w:jc w:val="center"/>
              <w:rPr>
                <w:rFonts w:ascii="Calibri" w:hAnsi="Calibri" w:cs="Calibri"/>
                <w:b/>
              </w:rPr>
            </w:pPr>
            <w:r w:rsidRPr="005A34D2">
              <w:rPr>
                <w:rFonts w:ascii="Calibri" w:hAnsi="Calibri" w:cs="Calibri"/>
                <w:b/>
              </w:rPr>
              <w:t>Confidence Level (%)</w:t>
            </w:r>
          </w:p>
        </w:tc>
        <w:tc>
          <w:tcPr>
            <w:tcW w:w="6000" w:type="dxa"/>
            <w:shd w:val="clear" w:color="auto" w:fill="DAEEF3" w:themeFill="accent5" w:themeFillTint="33"/>
            <w:tcMar>
              <w:top w:w="0" w:type="dxa"/>
              <w:left w:w="115" w:type="dxa"/>
              <w:bottom w:w="0" w:type="dxa"/>
              <w:right w:w="115" w:type="dxa"/>
            </w:tcMar>
          </w:tcPr>
          <w:p w14:paraId="2989440E" w14:textId="77777777" w:rsidR="00DB716F" w:rsidRPr="005A34D2" w:rsidRDefault="00314B53" w:rsidP="005F06EE">
            <w:pPr>
              <w:suppressAutoHyphens/>
              <w:spacing w:line="240" w:lineRule="auto"/>
              <w:contextualSpacing/>
              <w:jc w:val="center"/>
              <w:rPr>
                <w:rFonts w:ascii="Calibri" w:hAnsi="Calibri" w:cs="Calibri"/>
                <w:b/>
              </w:rPr>
            </w:pPr>
            <w:r w:rsidRPr="005A34D2">
              <w:rPr>
                <w:rFonts w:ascii="Calibri" w:hAnsi="Calibri" w:cs="Calibri"/>
                <w:b/>
              </w:rPr>
              <w:t>Confidence Interval</w:t>
            </w:r>
          </w:p>
        </w:tc>
      </w:tr>
      <w:tr w:rsidR="009B6796" w:rsidRPr="005A34D2" w14:paraId="729D7A8A" w14:textId="77777777" w:rsidTr="005F06EE">
        <w:trPr>
          <w:tblHeader/>
          <w:jc w:val="center"/>
        </w:trPr>
        <w:tc>
          <w:tcPr>
            <w:tcW w:w="2640" w:type="dxa"/>
            <w:tcMar>
              <w:top w:w="0" w:type="dxa"/>
              <w:left w:w="115" w:type="dxa"/>
              <w:bottom w:w="0" w:type="dxa"/>
              <w:right w:w="115" w:type="dxa"/>
            </w:tcMar>
          </w:tcPr>
          <w:p w14:paraId="55375E48" w14:textId="4F205930" w:rsidR="00DB716F" w:rsidRPr="005A34D2" w:rsidRDefault="005F06EE" w:rsidP="005F06EE">
            <w:pPr>
              <w:suppressAutoHyphens/>
              <w:spacing w:line="240" w:lineRule="auto"/>
              <w:contextualSpacing/>
              <w:jc w:val="center"/>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5FE86CA9" w14:textId="38E8FC04" w:rsidR="00DB716F" w:rsidRPr="005A34D2" w:rsidRDefault="005F06EE" w:rsidP="005F06EE">
            <w:pPr>
              <w:suppressAutoHyphens/>
              <w:spacing w:line="240" w:lineRule="auto"/>
              <w:contextualSpacing/>
              <w:jc w:val="center"/>
              <w:rPr>
                <w:rFonts w:ascii="Calibri" w:hAnsi="Calibri" w:cs="Calibri"/>
                <w:i/>
              </w:rPr>
            </w:pPr>
            <w:r>
              <w:rPr>
                <w:rFonts w:ascii="Calibri" w:hAnsi="Calibri" w:cs="Calibri"/>
              </w:rPr>
              <w:t>(1487.66, 1493.65)</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4145537F" w14:textId="3DCF47D8" w:rsidR="005F06EE" w:rsidRPr="005F06EE" w:rsidRDefault="005F06EE" w:rsidP="005F06EE">
      <w:pPr>
        <w:suppressAutoHyphens/>
        <w:spacing w:line="240" w:lineRule="auto"/>
        <w:contextualSpacing/>
        <w:rPr>
          <w:rFonts w:ascii="Calibri" w:hAnsi="Calibri" w:cs="Calibri"/>
          <w:iCs/>
          <w:lang w:val="en-US"/>
        </w:rPr>
      </w:pPr>
      <w:r w:rsidRPr="005F06EE">
        <w:rPr>
          <w:rFonts w:ascii="Calibri" w:hAnsi="Calibri" w:cs="Calibri"/>
          <w:iCs/>
          <w:lang w:val="en-US"/>
        </w:rPr>
        <w:t>For the years 1996–1998, we are 95% confident that the average relative skill of all teams lies between 14</w:t>
      </w:r>
      <w:r>
        <w:rPr>
          <w:rFonts w:ascii="Calibri" w:hAnsi="Calibri" w:cs="Calibri"/>
          <w:iCs/>
          <w:lang w:val="en-US"/>
        </w:rPr>
        <w:t>87</w:t>
      </w:r>
      <w:r w:rsidRPr="005F06EE">
        <w:rPr>
          <w:rFonts w:ascii="Calibri" w:hAnsi="Calibri" w:cs="Calibri"/>
          <w:iCs/>
          <w:lang w:val="en-US"/>
        </w:rPr>
        <w:t>.</w:t>
      </w:r>
      <w:r>
        <w:rPr>
          <w:rFonts w:ascii="Calibri" w:hAnsi="Calibri" w:cs="Calibri"/>
          <w:iCs/>
          <w:lang w:val="en-US"/>
        </w:rPr>
        <w:t>66</w:t>
      </w:r>
      <w:r w:rsidRPr="005F06EE">
        <w:rPr>
          <w:rFonts w:ascii="Calibri" w:hAnsi="Calibri" w:cs="Calibri"/>
          <w:iCs/>
          <w:lang w:val="en-US"/>
        </w:rPr>
        <w:t xml:space="preserve"> and 1</w:t>
      </w:r>
      <w:r>
        <w:rPr>
          <w:rFonts w:ascii="Calibri" w:hAnsi="Calibri" w:cs="Calibri"/>
          <w:iCs/>
          <w:lang w:val="en-US"/>
        </w:rPr>
        <w:t>493</w:t>
      </w:r>
      <w:r w:rsidRPr="005F06EE">
        <w:rPr>
          <w:rFonts w:ascii="Calibri" w:hAnsi="Calibri" w:cs="Calibri"/>
          <w:iCs/>
          <w:lang w:val="en-US"/>
        </w:rPr>
        <w:t>.</w:t>
      </w:r>
      <w:r>
        <w:rPr>
          <w:rFonts w:ascii="Calibri" w:hAnsi="Calibri" w:cs="Calibri"/>
          <w:iCs/>
          <w:lang w:val="en-US"/>
        </w:rPr>
        <w:t>6</w:t>
      </w:r>
      <w:r w:rsidRPr="005F06EE">
        <w:rPr>
          <w:rFonts w:ascii="Calibri" w:hAnsi="Calibri" w:cs="Calibri"/>
          <w:iCs/>
          <w:lang w:val="en-US"/>
        </w:rPr>
        <w:t xml:space="preserve">5. Compared to the confidence interval for 2013–2015, the earlier years show a slightly lower average relative skill. This suggests that, on average, teams in the later years </w:t>
      </w:r>
      <w:r w:rsidRPr="005F06EE">
        <w:rPr>
          <w:rFonts w:ascii="Calibri" w:hAnsi="Calibri" w:cs="Calibri"/>
          <w:iCs/>
          <w:lang w:val="en-US"/>
        </w:rPr>
        <w:t>demonstrate</w:t>
      </w:r>
      <w:r w:rsidRPr="005F06EE">
        <w:rPr>
          <w:rFonts w:ascii="Calibri" w:hAnsi="Calibri" w:cs="Calibri"/>
          <w:iCs/>
          <w:lang w:val="en-US"/>
        </w:rPr>
        <w:t xml:space="preserve"> slightly improved skill levels, reflecting potential advancements in strategies or player performance.</w:t>
      </w:r>
    </w:p>
    <w:p w14:paraId="11DE9F79" w14:textId="77777777" w:rsidR="00DB716F"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5B3F8E05" w14:textId="79B96CF9" w:rsidR="00BF3D91" w:rsidRDefault="00BF3D91" w:rsidP="002D755F">
      <w:pPr>
        <w:suppressAutoHyphens/>
        <w:spacing w:line="240" w:lineRule="auto"/>
        <w:contextualSpacing/>
        <w:rPr>
          <w:rFonts w:ascii="Calibri" w:hAnsi="Calibri" w:cs="Calibri"/>
          <w:i/>
          <w:lang w:val="en-US"/>
        </w:rPr>
      </w:pPr>
      <w:r w:rsidRPr="0036619D">
        <w:rPr>
          <w:rFonts w:ascii="Calibri" w:hAnsi="Calibri" w:cs="Calibri"/>
          <w:i/>
          <w:lang w:val="en-US"/>
        </w:rPr>
        <w:pict w14:anchorId="303844F0">
          <v:rect id="_x0000_i1048" style="width:0;height:1.5pt" o:hralign="center" o:hrstd="t" o:hr="t" fillcolor="#a0a0a0" stroked="f"/>
        </w:pict>
      </w:r>
    </w:p>
    <w:p w14:paraId="7CA2638A" w14:textId="77777777" w:rsidR="00BF3D91" w:rsidRPr="005A34D2" w:rsidRDefault="00BF3D91" w:rsidP="002D755F">
      <w:pPr>
        <w:suppressAutoHyphens/>
        <w:spacing w:line="240" w:lineRule="auto"/>
        <w:contextualSpacing/>
        <w:rPr>
          <w:rFonts w:ascii="Calibri" w:hAnsi="Calibri" w:cs="Calibri"/>
          <w:i/>
        </w:rPr>
      </w:pP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47A0DAE1" w14:textId="3D92BC5D" w:rsidR="002A17EA" w:rsidRPr="002A17EA" w:rsidRDefault="002A17EA" w:rsidP="002A17EA">
      <w:pPr>
        <w:suppressAutoHyphens/>
        <w:spacing w:line="240" w:lineRule="auto"/>
        <w:contextualSpacing/>
        <w:rPr>
          <w:rFonts w:ascii="Calibri" w:hAnsi="Calibri" w:cs="Calibri"/>
          <w:iCs/>
          <w:lang w:val="en-US"/>
        </w:rPr>
      </w:pPr>
      <w:r w:rsidRPr="002A17EA">
        <w:rPr>
          <w:rFonts w:ascii="Calibri" w:hAnsi="Calibri" w:cs="Calibri"/>
          <w:iCs/>
          <w:lang w:val="en-US"/>
        </w:rPr>
        <w:t>The statistical analyses conducted in this project provide valuable insights into team performance and league trends. Descriptive statistics highlighted consistent scoring patterns for the Dallas Mavericks, with better performance at home compared to away games. Confidence intervals allowed us to estimate average relative skill levels, showing slight improvements in team skills in later years compared to earlier periods.</w:t>
      </w:r>
      <w:r>
        <w:rPr>
          <w:rFonts w:ascii="Calibri" w:hAnsi="Calibri" w:cs="Calibri"/>
          <w:iCs/>
          <w:lang w:val="en-US"/>
        </w:rPr>
        <w:br/>
      </w:r>
    </w:p>
    <w:p w14:paraId="00F9D27E" w14:textId="77777777" w:rsidR="002A17EA" w:rsidRPr="002A17EA" w:rsidRDefault="002A17EA" w:rsidP="002A17EA">
      <w:pPr>
        <w:suppressAutoHyphens/>
        <w:spacing w:line="240" w:lineRule="auto"/>
        <w:contextualSpacing/>
        <w:rPr>
          <w:rFonts w:ascii="Calibri" w:hAnsi="Calibri" w:cs="Calibri"/>
          <w:iCs/>
          <w:lang w:val="en-US"/>
        </w:rPr>
      </w:pPr>
      <w:r w:rsidRPr="002A17EA">
        <w:rPr>
          <w:rFonts w:ascii="Calibri" w:hAnsi="Calibri" w:cs="Calibri"/>
          <w:iCs/>
          <w:lang w:val="en-US"/>
        </w:rPr>
        <w:t>These results are significant as they provide a data-driven basis for understanding performance and making informed decisions to improve the team’s strategies. Visualizations effectively highlighted trends and distributions, aiding in the interpretation of the data.</w:t>
      </w:r>
    </w:p>
    <w:p w14:paraId="57BD4807" w14:textId="150B266A" w:rsidR="00DB716F" w:rsidRPr="002A17EA" w:rsidRDefault="00DB716F" w:rsidP="002A17EA">
      <w:pPr>
        <w:suppressAutoHyphens/>
        <w:spacing w:line="240" w:lineRule="auto"/>
        <w:contextualSpacing/>
        <w:rPr>
          <w:rFonts w:ascii="Calibri" w:hAnsi="Calibri" w:cs="Calibri"/>
          <w:i/>
          <w:lang w:val="en-US"/>
        </w:rPr>
      </w:pPr>
    </w:p>
    <w:sectPr w:rsidR="00DB716F" w:rsidRPr="002A17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C5928" w14:textId="77777777" w:rsidR="00C8669E" w:rsidRDefault="00C8669E">
      <w:pPr>
        <w:spacing w:line="240" w:lineRule="auto"/>
      </w:pPr>
      <w:r>
        <w:separator/>
      </w:r>
    </w:p>
  </w:endnote>
  <w:endnote w:type="continuationSeparator" w:id="0">
    <w:p w14:paraId="05051F93" w14:textId="77777777" w:rsidR="00C8669E" w:rsidRDefault="00C86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6404E" w14:textId="77777777" w:rsidR="00C8669E" w:rsidRDefault="00C8669E">
      <w:pPr>
        <w:spacing w:line="240" w:lineRule="auto"/>
      </w:pPr>
      <w:r>
        <w:separator/>
      </w:r>
    </w:p>
  </w:footnote>
  <w:footnote w:type="continuationSeparator" w:id="0">
    <w:p w14:paraId="4D3BA73F" w14:textId="77777777" w:rsidR="00C8669E" w:rsidRDefault="00C866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99A7825"/>
    <w:multiLevelType w:val="hybridMultilevel"/>
    <w:tmpl w:val="F83EFEE2"/>
    <w:lvl w:ilvl="0" w:tplc="C65C6A5E">
      <w:start w:val="1"/>
      <w:numFmt w:val="bullet"/>
      <w:lvlText w:val=""/>
      <w:lvlPicBulletId w:val="0"/>
      <w:lvlJc w:val="left"/>
      <w:pPr>
        <w:tabs>
          <w:tab w:val="num" w:pos="720"/>
        </w:tabs>
        <w:ind w:left="720" w:hanging="360"/>
      </w:pPr>
      <w:rPr>
        <w:rFonts w:ascii="Symbol" w:hAnsi="Symbol" w:hint="default"/>
      </w:rPr>
    </w:lvl>
    <w:lvl w:ilvl="1" w:tplc="FE3CD072" w:tentative="1">
      <w:start w:val="1"/>
      <w:numFmt w:val="bullet"/>
      <w:lvlText w:val=""/>
      <w:lvlJc w:val="left"/>
      <w:pPr>
        <w:tabs>
          <w:tab w:val="num" w:pos="1440"/>
        </w:tabs>
        <w:ind w:left="1440" w:hanging="360"/>
      </w:pPr>
      <w:rPr>
        <w:rFonts w:ascii="Symbol" w:hAnsi="Symbol" w:hint="default"/>
      </w:rPr>
    </w:lvl>
    <w:lvl w:ilvl="2" w:tplc="39B2CB0A" w:tentative="1">
      <w:start w:val="1"/>
      <w:numFmt w:val="bullet"/>
      <w:lvlText w:val=""/>
      <w:lvlJc w:val="left"/>
      <w:pPr>
        <w:tabs>
          <w:tab w:val="num" w:pos="2160"/>
        </w:tabs>
        <w:ind w:left="2160" w:hanging="360"/>
      </w:pPr>
      <w:rPr>
        <w:rFonts w:ascii="Symbol" w:hAnsi="Symbol" w:hint="default"/>
      </w:rPr>
    </w:lvl>
    <w:lvl w:ilvl="3" w:tplc="B4DAABF4" w:tentative="1">
      <w:start w:val="1"/>
      <w:numFmt w:val="bullet"/>
      <w:lvlText w:val=""/>
      <w:lvlJc w:val="left"/>
      <w:pPr>
        <w:tabs>
          <w:tab w:val="num" w:pos="2880"/>
        </w:tabs>
        <w:ind w:left="2880" w:hanging="360"/>
      </w:pPr>
      <w:rPr>
        <w:rFonts w:ascii="Symbol" w:hAnsi="Symbol" w:hint="default"/>
      </w:rPr>
    </w:lvl>
    <w:lvl w:ilvl="4" w:tplc="370E89E0" w:tentative="1">
      <w:start w:val="1"/>
      <w:numFmt w:val="bullet"/>
      <w:lvlText w:val=""/>
      <w:lvlJc w:val="left"/>
      <w:pPr>
        <w:tabs>
          <w:tab w:val="num" w:pos="3600"/>
        </w:tabs>
        <w:ind w:left="3600" w:hanging="360"/>
      </w:pPr>
      <w:rPr>
        <w:rFonts w:ascii="Symbol" w:hAnsi="Symbol" w:hint="default"/>
      </w:rPr>
    </w:lvl>
    <w:lvl w:ilvl="5" w:tplc="C79C48DC" w:tentative="1">
      <w:start w:val="1"/>
      <w:numFmt w:val="bullet"/>
      <w:lvlText w:val=""/>
      <w:lvlJc w:val="left"/>
      <w:pPr>
        <w:tabs>
          <w:tab w:val="num" w:pos="4320"/>
        </w:tabs>
        <w:ind w:left="4320" w:hanging="360"/>
      </w:pPr>
      <w:rPr>
        <w:rFonts w:ascii="Symbol" w:hAnsi="Symbol" w:hint="default"/>
      </w:rPr>
    </w:lvl>
    <w:lvl w:ilvl="6" w:tplc="8E6E91C2" w:tentative="1">
      <w:start w:val="1"/>
      <w:numFmt w:val="bullet"/>
      <w:lvlText w:val=""/>
      <w:lvlJc w:val="left"/>
      <w:pPr>
        <w:tabs>
          <w:tab w:val="num" w:pos="5040"/>
        </w:tabs>
        <w:ind w:left="5040" w:hanging="360"/>
      </w:pPr>
      <w:rPr>
        <w:rFonts w:ascii="Symbol" w:hAnsi="Symbol" w:hint="default"/>
      </w:rPr>
    </w:lvl>
    <w:lvl w:ilvl="7" w:tplc="6A187B3C" w:tentative="1">
      <w:start w:val="1"/>
      <w:numFmt w:val="bullet"/>
      <w:lvlText w:val=""/>
      <w:lvlJc w:val="left"/>
      <w:pPr>
        <w:tabs>
          <w:tab w:val="num" w:pos="5760"/>
        </w:tabs>
        <w:ind w:left="5760" w:hanging="360"/>
      </w:pPr>
      <w:rPr>
        <w:rFonts w:ascii="Symbol" w:hAnsi="Symbol" w:hint="default"/>
      </w:rPr>
    </w:lvl>
    <w:lvl w:ilvl="8" w:tplc="3C3C3D3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5685461">
    <w:abstractNumId w:val="11"/>
  </w:num>
  <w:num w:numId="2" w16cid:durableId="2071995996">
    <w:abstractNumId w:val="18"/>
  </w:num>
  <w:num w:numId="3" w16cid:durableId="628437320">
    <w:abstractNumId w:val="17"/>
  </w:num>
  <w:num w:numId="4" w16cid:durableId="339429093">
    <w:abstractNumId w:val="22"/>
  </w:num>
  <w:num w:numId="5" w16cid:durableId="489294150">
    <w:abstractNumId w:val="10"/>
  </w:num>
  <w:num w:numId="6" w16cid:durableId="217480126">
    <w:abstractNumId w:val="19"/>
  </w:num>
  <w:num w:numId="7" w16cid:durableId="1515342485">
    <w:abstractNumId w:val="15"/>
  </w:num>
  <w:num w:numId="8" w16cid:durableId="646474600">
    <w:abstractNumId w:val="14"/>
  </w:num>
  <w:num w:numId="9" w16cid:durableId="1279332041">
    <w:abstractNumId w:val="20"/>
  </w:num>
  <w:num w:numId="10" w16cid:durableId="477577065">
    <w:abstractNumId w:val="24"/>
  </w:num>
  <w:num w:numId="11" w16cid:durableId="575820781">
    <w:abstractNumId w:val="21"/>
  </w:num>
  <w:num w:numId="12" w16cid:durableId="943876922">
    <w:abstractNumId w:val="13"/>
  </w:num>
  <w:num w:numId="13" w16cid:durableId="1469131563">
    <w:abstractNumId w:val="16"/>
  </w:num>
  <w:num w:numId="14" w16cid:durableId="710418539">
    <w:abstractNumId w:val="9"/>
  </w:num>
  <w:num w:numId="15" w16cid:durableId="179928411">
    <w:abstractNumId w:val="7"/>
  </w:num>
  <w:num w:numId="16" w16cid:durableId="577716100">
    <w:abstractNumId w:val="6"/>
  </w:num>
  <w:num w:numId="17" w16cid:durableId="221915852">
    <w:abstractNumId w:val="5"/>
  </w:num>
  <w:num w:numId="18" w16cid:durableId="276986984">
    <w:abstractNumId w:val="4"/>
  </w:num>
  <w:num w:numId="19" w16cid:durableId="1284311143">
    <w:abstractNumId w:val="8"/>
  </w:num>
  <w:num w:numId="20" w16cid:durableId="1546792889">
    <w:abstractNumId w:val="3"/>
  </w:num>
  <w:num w:numId="21" w16cid:durableId="539435533">
    <w:abstractNumId w:val="2"/>
  </w:num>
  <w:num w:numId="22" w16cid:durableId="1780176586">
    <w:abstractNumId w:val="1"/>
  </w:num>
  <w:num w:numId="23" w16cid:durableId="26101247">
    <w:abstractNumId w:val="0"/>
  </w:num>
  <w:num w:numId="24" w16cid:durableId="524170982">
    <w:abstractNumId w:val="23"/>
  </w:num>
  <w:num w:numId="25" w16cid:durableId="1568609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6F"/>
    <w:rsid w:val="00051E5C"/>
    <w:rsid w:val="000745A6"/>
    <w:rsid w:val="000E6BCF"/>
    <w:rsid w:val="001629ED"/>
    <w:rsid w:val="001D3FD5"/>
    <w:rsid w:val="00257BFB"/>
    <w:rsid w:val="00287E22"/>
    <w:rsid w:val="002A17EA"/>
    <w:rsid w:val="002C2DA9"/>
    <w:rsid w:val="002D755F"/>
    <w:rsid w:val="00307785"/>
    <w:rsid w:val="00314B53"/>
    <w:rsid w:val="0036619D"/>
    <w:rsid w:val="003779A5"/>
    <w:rsid w:val="003A53D3"/>
    <w:rsid w:val="003B1812"/>
    <w:rsid w:val="003C0763"/>
    <w:rsid w:val="00420BE8"/>
    <w:rsid w:val="00465F32"/>
    <w:rsid w:val="004674B7"/>
    <w:rsid w:val="004B094F"/>
    <w:rsid w:val="00551F53"/>
    <w:rsid w:val="00582E68"/>
    <w:rsid w:val="005A34D2"/>
    <w:rsid w:val="005B3662"/>
    <w:rsid w:val="005B36F6"/>
    <w:rsid w:val="005E6156"/>
    <w:rsid w:val="005F06EE"/>
    <w:rsid w:val="00663865"/>
    <w:rsid w:val="006714A0"/>
    <w:rsid w:val="006A376F"/>
    <w:rsid w:val="00714EE9"/>
    <w:rsid w:val="00794FA0"/>
    <w:rsid w:val="007F08A8"/>
    <w:rsid w:val="007F6CE2"/>
    <w:rsid w:val="008468F1"/>
    <w:rsid w:val="00886D10"/>
    <w:rsid w:val="009479A4"/>
    <w:rsid w:val="009B6796"/>
    <w:rsid w:val="009C2363"/>
    <w:rsid w:val="009C6649"/>
    <w:rsid w:val="00A544B1"/>
    <w:rsid w:val="00A974DC"/>
    <w:rsid w:val="00B1171B"/>
    <w:rsid w:val="00B374A0"/>
    <w:rsid w:val="00B425F9"/>
    <w:rsid w:val="00BF3D91"/>
    <w:rsid w:val="00C21B05"/>
    <w:rsid w:val="00C843EB"/>
    <w:rsid w:val="00C8669E"/>
    <w:rsid w:val="00DB3E24"/>
    <w:rsid w:val="00DB716F"/>
    <w:rsid w:val="00E01A61"/>
    <w:rsid w:val="00E1151B"/>
    <w:rsid w:val="00ED491F"/>
    <w:rsid w:val="00EE067E"/>
    <w:rsid w:val="00EF7AD4"/>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019">
      <w:bodyDiv w:val="1"/>
      <w:marLeft w:val="0"/>
      <w:marRight w:val="0"/>
      <w:marTop w:val="0"/>
      <w:marBottom w:val="0"/>
      <w:divBdr>
        <w:top w:val="none" w:sz="0" w:space="0" w:color="auto"/>
        <w:left w:val="none" w:sz="0" w:space="0" w:color="auto"/>
        <w:bottom w:val="none" w:sz="0" w:space="0" w:color="auto"/>
        <w:right w:val="none" w:sz="0" w:space="0" w:color="auto"/>
      </w:divBdr>
    </w:div>
    <w:div w:id="137308581">
      <w:bodyDiv w:val="1"/>
      <w:marLeft w:val="0"/>
      <w:marRight w:val="0"/>
      <w:marTop w:val="0"/>
      <w:marBottom w:val="0"/>
      <w:divBdr>
        <w:top w:val="none" w:sz="0" w:space="0" w:color="auto"/>
        <w:left w:val="none" w:sz="0" w:space="0" w:color="auto"/>
        <w:bottom w:val="none" w:sz="0" w:space="0" w:color="auto"/>
        <w:right w:val="none" w:sz="0" w:space="0" w:color="auto"/>
      </w:divBdr>
    </w:div>
    <w:div w:id="211503317">
      <w:bodyDiv w:val="1"/>
      <w:marLeft w:val="0"/>
      <w:marRight w:val="0"/>
      <w:marTop w:val="0"/>
      <w:marBottom w:val="0"/>
      <w:divBdr>
        <w:top w:val="none" w:sz="0" w:space="0" w:color="auto"/>
        <w:left w:val="none" w:sz="0" w:space="0" w:color="auto"/>
        <w:bottom w:val="none" w:sz="0" w:space="0" w:color="auto"/>
        <w:right w:val="none" w:sz="0" w:space="0" w:color="auto"/>
      </w:divBdr>
    </w:div>
    <w:div w:id="310599824">
      <w:bodyDiv w:val="1"/>
      <w:marLeft w:val="0"/>
      <w:marRight w:val="0"/>
      <w:marTop w:val="0"/>
      <w:marBottom w:val="0"/>
      <w:divBdr>
        <w:top w:val="none" w:sz="0" w:space="0" w:color="auto"/>
        <w:left w:val="none" w:sz="0" w:space="0" w:color="auto"/>
        <w:bottom w:val="none" w:sz="0" w:space="0" w:color="auto"/>
        <w:right w:val="none" w:sz="0" w:space="0" w:color="auto"/>
      </w:divBdr>
    </w:div>
    <w:div w:id="640691118">
      <w:bodyDiv w:val="1"/>
      <w:marLeft w:val="0"/>
      <w:marRight w:val="0"/>
      <w:marTop w:val="0"/>
      <w:marBottom w:val="0"/>
      <w:divBdr>
        <w:top w:val="none" w:sz="0" w:space="0" w:color="auto"/>
        <w:left w:val="none" w:sz="0" w:space="0" w:color="auto"/>
        <w:bottom w:val="none" w:sz="0" w:space="0" w:color="auto"/>
        <w:right w:val="none" w:sz="0" w:space="0" w:color="auto"/>
      </w:divBdr>
    </w:div>
    <w:div w:id="771507606">
      <w:bodyDiv w:val="1"/>
      <w:marLeft w:val="0"/>
      <w:marRight w:val="0"/>
      <w:marTop w:val="0"/>
      <w:marBottom w:val="0"/>
      <w:divBdr>
        <w:top w:val="none" w:sz="0" w:space="0" w:color="auto"/>
        <w:left w:val="none" w:sz="0" w:space="0" w:color="auto"/>
        <w:bottom w:val="none" w:sz="0" w:space="0" w:color="auto"/>
        <w:right w:val="none" w:sz="0" w:space="0" w:color="auto"/>
      </w:divBdr>
    </w:div>
    <w:div w:id="935286300">
      <w:bodyDiv w:val="1"/>
      <w:marLeft w:val="0"/>
      <w:marRight w:val="0"/>
      <w:marTop w:val="0"/>
      <w:marBottom w:val="0"/>
      <w:divBdr>
        <w:top w:val="none" w:sz="0" w:space="0" w:color="auto"/>
        <w:left w:val="none" w:sz="0" w:space="0" w:color="auto"/>
        <w:bottom w:val="none" w:sz="0" w:space="0" w:color="auto"/>
        <w:right w:val="none" w:sz="0" w:space="0" w:color="auto"/>
      </w:divBdr>
    </w:div>
    <w:div w:id="1033266410">
      <w:bodyDiv w:val="1"/>
      <w:marLeft w:val="0"/>
      <w:marRight w:val="0"/>
      <w:marTop w:val="0"/>
      <w:marBottom w:val="0"/>
      <w:divBdr>
        <w:top w:val="none" w:sz="0" w:space="0" w:color="auto"/>
        <w:left w:val="none" w:sz="0" w:space="0" w:color="auto"/>
        <w:bottom w:val="none" w:sz="0" w:space="0" w:color="auto"/>
        <w:right w:val="none" w:sz="0" w:space="0" w:color="auto"/>
      </w:divBdr>
    </w:div>
    <w:div w:id="1056389087">
      <w:bodyDiv w:val="1"/>
      <w:marLeft w:val="0"/>
      <w:marRight w:val="0"/>
      <w:marTop w:val="0"/>
      <w:marBottom w:val="0"/>
      <w:divBdr>
        <w:top w:val="none" w:sz="0" w:space="0" w:color="auto"/>
        <w:left w:val="none" w:sz="0" w:space="0" w:color="auto"/>
        <w:bottom w:val="none" w:sz="0" w:space="0" w:color="auto"/>
        <w:right w:val="none" w:sz="0" w:space="0" w:color="auto"/>
      </w:divBdr>
    </w:div>
    <w:div w:id="1133060493">
      <w:bodyDiv w:val="1"/>
      <w:marLeft w:val="0"/>
      <w:marRight w:val="0"/>
      <w:marTop w:val="0"/>
      <w:marBottom w:val="0"/>
      <w:divBdr>
        <w:top w:val="none" w:sz="0" w:space="0" w:color="auto"/>
        <w:left w:val="none" w:sz="0" w:space="0" w:color="auto"/>
        <w:bottom w:val="none" w:sz="0" w:space="0" w:color="auto"/>
        <w:right w:val="none" w:sz="0" w:space="0" w:color="auto"/>
      </w:divBdr>
    </w:div>
    <w:div w:id="1177498562">
      <w:bodyDiv w:val="1"/>
      <w:marLeft w:val="0"/>
      <w:marRight w:val="0"/>
      <w:marTop w:val="0"/>
      <w:marBottom w:val="0"/>
      <w:divBdr>
        <w:top w:val="none" w:sz="0" w:space="0" w:color="auto"/>
        <w:left w:val="none" w:sz="0" w:space="0" w:color="auto"/>
        <w:bottom w:val="none" w:sz="0" w:space="0" w:color="auto"/>
        <w:right w:val="none" w:sz="0" w:space="0" w:color="auto"/>
      </w:divBdr>
      <w:divsChild>
        <w:div w:id="144396806">
          <w:marLeft w:val="0"/>
          <w:marRight w:val="0"/>
          <w:marTop w:val="0"/>
          <w:marBottom w:val="0"/>
          <w:divBdr>
            <w:top w:val="none" w:sz="0" w:space="0" w:color="auto"/>
            <w:left w:val="none" w:sz="0" w:space="0" w:color="auto"/>
            <w:bottom w:val="none" w:sz="0" w:space="0" w:color="auto"/>
            <w:right w:val="none" w:sz="0" w:space="0" w:color="auto"/>
          </w:divBdr>
          <w:divsChild>
            <w:div w:id="1330600970">
              <w:marLeft w:val="0"/>
              <w:marRight w:val="0"/>
              <w:marTop w:val="0"/>
              <w:marBottom w:val="0"/>
              <w:divBdr>
                <w:top w:val="none" w:sz="0" w:space="0" w:color="auto"/>
                <w:left w:val="none" w:sz="0" w:space="0" w:color="auto"/>
                <w:bottom w:val="none" w:sz="0" w:space="0" w:color="auto"/>
                <w:right w:val="none" w:sz="0" w:space="0" w:color="auto"/>
              </w:divBdr>
              <w:divsChild>
                <w:div w:id="1163398827">
                  <w:marLeft w:val="0"/>
                  <w:marRight w:val="0"/>
                  <w:marTop w:val="0"/>
                  <w:marBottom w:val="0"/>
                  <w:divBdr>
                    <w:top w:val="none" w:sz="0" w:space="0" w:color="auto"/>
                    <w:left w:val="none" w:sz="0" w:space="0" w:color="auto"/>
                    <w:bottom w:val="none" w:sz="0" w:space="0" w:color="auto"/>
                    <w:right w:val="none" w:sz="0" w:space="0" w:color="auto"/>
                  </w:divBdr>
                  <w:divsChild>
                    <w:div w:id="844975481">
                      <w:marLeft w:val="0"/>
                      <w:marRight w:val="0"/>
                      <w:marTop w:val="0"/>
                      <w:marBottom w:val="0"/>
                      <w:divBdr>
                        <w:top w:val="none" w:sz="0" w:space="0" w:color="auto"/>
                        <w:left w:val="none" w:sz="0" w:space="0" w:color="auto"/>
                        <w:bottom w:val="none" w:sz="0" w:space="0" w:color="auto"/>
                        <w:right w:val="none" w:sz="0" w:space="0" w:color="auto"/>
                      </w:divBdr>
                      <w:divsChild>
                        <w:div w:id="253632108">
                          <w:marLeft w:val="0"/>
                          <w:marRight w:val="0"/>
                          <w:marTop w:val="0"/>
                          <w:marBottom w:val="0"/>
                          <w:divBdr>
                            <w:top w:val="none" w:sz="0" w:space="0" w:color="auto"/>
                            <w:left w:val="none" w:sz="0" w:space="0" w:color="auto"/>
                            <w:bottom w:val="none" w:sz="0" w:space="0" w:color="auto"/>
                            <w:right w:val="none" w:sz="0" w:space="0" w:color="auto"/>
                          </w:divBdr>
                          <w:divsChild>
                            <w:div w:id="6123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55500">
      <w:bodyDiv w:val="1"/>
      <w:marLeft w:val="0"/>
      <w:marRight w:val="0"/>
      <w:marTop w:val="0"/>
      <w:marBottom w:val="0"/>
      <w:divBdr>
        <w:top w:val="none" w:sz="0" w:space="0" w:color="auto"/>
        <w:left w:val="none" w:sz="0" w:space="0" w:color="auto"/>
        <w:bottom w:val="none" w:sz="0" w:space="0" w:color="auto"/>
        <w:right w:val="none" w:sz="0" w:space="0" w:color="auto"/>
      </w:divBdr>
    </w:div>
    <w:div w:id="1276017478">
      <w:bodyDiv w:val="1"/>
      <w:marLeft w:val="0"/>
      <w:marRight w:val="0"/>
      <w:marTop w:val="0"/>
      <w:marBottom w:val="0"/>
      <w:divBdr>
        <w:top w:val="none" w:sz="0" w:space="0" w:color="auto"/>
        <w:left w:val="none" w:sz="0" w:space="0" w:color="auto"/>
        <w:bottom w:val="none" w:sz="0" w:space="0" w:color="auto"/>
        <w:right w:val="none" w:sz="0" w:space="0" w:color="auto"/>
      </w:divBdr>
    </w:div>
    <w:div w:id="1489521062">
      <w:bodyDiv w:val="1"/>
      <w:marLeft w:val="0"/>
      <w:marRight w:val="0"/>
      <w:marTop w:val="0"/>
      <w:marBottom w:val="0"/>
      <w:divBdr>
        <w:top w:val="none" w:sz="0" w:space="0" w:color="auto"/>
        <w:left w:val="none" w:sz="0" w:space="0" w:color="auto"/>
        <w:bottom w:val="none" w:sz="0" w:space="0" w:color="auto"/>
        <w:right w:val="none" w:sz="0" w:space="0" w:color="auto"/>
      </w:divBdr>
    </w:div>
    <w:div w:id="1491630888">
      <w:bodyDiv w:val="1"/>
      <w:marLeft w:val="0"/>
      <w:marRight w:val="0"/>
      <w:marTop w:val="0"/>
      <w:marBottom w:val="0"/>
      <w:divBdr>
        <w:top w:val="none" w:sz="0" w:space="0" w:color="auto"/>
        <w:left w:val="none" w:sz="0" w:space="0" w:color="auto"/>
        <w:bottom w:val="none" w:sz="0" w:space="0" w:color="auto"/>
        <w:right w:val="none" w:sz="0" w:space="0" w:color="auto"/>
      </w:divBdr>
    </w:div>
    <w:div w:id="1519001688">
      <w:bodyDiv w:val="1"/>
      <w:marLeft w:val="0"/>
      <w:marRight w:val="0"/>
      <w:marTop w:val="0"/>
      <w:marBottom w:val="0"/>
      <w:divBdr>
        <w:top w:val="none" w:sz="0" w:space="0" w:color="auto"/>
        <w:left w:val="none" w:sz="0" w:space="0" w:color="auto"/>
        <w:bottom w:val="none" w:sz="0" w:space="0" w:color="auto"/>
        <w:right w:val="none" w:sz="0" w:space="0" w:color="auto"/>
      </w:divBdr>
    </w:div>
    <w:div w:id="1663000553">
      <w:bodyDiv w:val="1"/>
      <w:marLeft w:val="0"/>
      <w:marRight w:val="0"/>
      <w:marTop w:val="0"/>
      <w:marBottom w:val="0"/>
      <w:divBdr>
        <w:top w:val="none" w:sz="0" w:space="0" w:color="auto"/>
        <w:left w:val="none" w:sz="0" w:space="0" w:color="auto"/>
        <w:bottom w:val="none" w:sz="0" w:space="0" w:color="auto"/>
        <w:right w:val="none" w:sz="0" w:space="0" w:color="auto"/>
      </w:divBdr>
      <w:divsChild>
        <w:div w:id="1683438288">
          <w:marLeft w:val="0"/>
          <w:marRight w:val="0"/>
          <w:marTop w:val="0"/>
          <w:marBottom w:val="0"/>
          <w:divBdr>
            <w:top w:val="none" w:sz="0" w:space="0" w:color="auto"/>
            <w:left w:val="none" w:sz="0" w:space="0" w:color="auto"/>
            <w:bottom w:val="none" w:sz="0" w:space="0" w:color="auto"/>
            <w:right w:val="none" w:sz="0" w:space="0" w:color="auto"/>
          </w:divBdr>
        </w:div>
      </w:divsChild>
    </w:div>
    <w:div w:id="1753745836">
      <w:bodyDiv w:val="1"/>
      <w:marLeft w:val="0"/>
      <w:marRight w:val="0"/>
      <w:marTop w:val="0"/>
      <w:marBottom w:val="0"/>
      <w:divBdr>
        <w:top w:val="none" w:sz="0" w:space="0" w:color="auto"/>
        <w:left w:val="none" w:sz="0" w:space="0" w:color="auto"/>
        <w:bottom w:val="none" w:sz="0" w:space="0" w:color="auto"/>
        <w:right w:val="none" w:sz="0" w:space="0" w:color="auto"/>
      </w:divBdr>
    </w:div>
    <w:div w:id="1756441531">
      <w:bodyDiv w:val="1"/>
      <w:marLeft w:val="0"/>
      <w:marRight w:val="0"/>
      <w:marTop w:val="0"/>
      <w:marBottom w:val="0"/>
      <w:divBdr>
        <w:top w:val="none" w:sz="0" w:space="0" w:color="auto"/>
        <w:left w:val="none" w:sz="0" w:space="0" w:color="auto"/>
        <w:bottom w:val="none" w:sz="0" w:space="0" w:color="auto"/>
        <w:right w:val="none" w:sz="0" w:space="0" w:color="auto"/>
      </w:divBdr>
    </w:div>
    <w:div w:id="1813476828">
      <w:bodyDiv w:val="1"/>
      <w:marLeft w:val="0"/>
      <w:marRight w:val="0"/>
      <w:marTop w:val="0"/>
      <w:marBottom w:val="0"/>
      <w:divBdr>
        <w:top w:val="none" w:sz="0" w:space="0" w:color="auto"/>
        <w:left w:val="none" w:sz="0" w:space="0" w:color="auto"/>
        <w:bottom w:val="none" w:sz="0" w:space="0" w:color="auto"/>
        <w:right w:val="none" w:sz="0" w:space="0" w:color="auto"/>
      </w:divBdr>
    </w:div>
    <w:div w:id="1832717263">
      <w:bodyDiv w:val="1"/>
      <w:marLeft w:val="0"/>
      <w:marRight w:val="0"/>
      <w:marTop w:val="0"/>
      <w:marBottom w:val="0"/>
      <w:divBdr>
        <w:top w:val="none" w:sz="0" w:space="0" w:color="auto"/>
        <w:left w:val="none" w:sz="0" w:space="0" w:color="auto"/>
        <w:bottom w:val="none" w:sz="0" w:space="0" w:color="auto"/>
        <w:right w:val="none" w:sz="0" w:space="0" w:color="auto"/>
      </w:divBdr>
    </w:div>
    <w:div w:id="1845395190">
      <w:bodyDiv w:val="1"/>
      <w:marLeft w:val="0"/>
      <w:marRight w:val="0"/>
      <w:marTop w:val="0"/>
      <w:marBottom w:val="0"/>
      <w:divBdr>
        <w:top w:val="none" w:sz="0" w:space="0" w:color="auto"/>
        <w:left w:val="none" w:sz="0" w:space="0" w:color="auto"/>
        <w:bottom w:val="none" w:sz="0" w:space="0" w:color="auto"/>
        <w:right w:val="none" w:sz="0" w:space="0" w:color="auto"/>
      </w:divBdr>
      <w:divsChild>
        <w:div w:id="1321999211">
          <w:marLeft w:val="0"/>
          <w:marRight w:val="0"/>
          <w:marTop w:val="0"/>
          <w:marBottom w:val="0"/>
          <w:divBdr>
            <w:top w:val="none" w:sz="0" w:space="0" w:color="auto"/>
            <w:left w:val="none" w:sz="0" w:space="0" w:color="auto"/>
            <w:bottom w:val="none" w:sz="0" w:space="0" w:color="auto"/>
            <w:right w:val="none" w:sz="0" w:space="0" w:color="auto"/>
          </w:divBdr>
        </w:div>
      </w:divsChild>
    </w:div>
    <w:div w:id="1904487400">
      <w:bodyDiv w:val="1"/>
      <w:marLeft w:val="0"/>
      <w:marRight w:val="0"/>
      <w:marTop w:val="0"/>
      <w:marBottom w:val="0"/>
      <w:divBdr>
        <w:top w:val="none" w:sz="0" w:space="0" w:color="auto"/>
        <w:left w:val="none" w:sz="0" w:space="0" w:color="auto"/>
        <w:bottom w:val="none" w:sz="0" w:space="0" w:color="auto"/>
        <w:right w:val="none" w:sz="0" w:space="0" w:color="auto"/>
      </w:divBdr>
    </w:div>
    <w:div w:id="1905143637">
      <w:bodyDiv w:val="1"/>
      <w:marLeft w:val="0"/>
      <w:marRight w:val="0"/>
      <w:marTop w:val="0"/>
      <w:marBottom w:val="0"/>
      <w:divBdr>
        <w:top w:val="none" w:sz="0" w:space="0" w:color="auto"/>
        <w:left w:val="none" w:sz="0" w:space="0" w:color="auto"/>
        <w:bottom w:val="none" w:sz="0" w:space="0" w:color="auto"/>
        <w:right w:val="none" w:sz="0" w:space="0" w:color="auto"/>
      </w:divBdr>
    </w:div>
    <w:div w:id="1957132286">
      <w:bodyDiv w:val="1"/>
      <w:marLeft w:val="0"/>
      <w:marRight w:val="0"/>
      <w:marTop w:val="0"/>
      <w:marBottom w:val="0"/>
      <w:divBdr>
        <w:top w:val="none" w:sz="0" w:space="0" w:color="auto"/>
        <w:left w:val="none" w:sz="0" w:space="0" w:color="auto"/>
        <w:bottom w:val="none" w:sz="0" w:space="0" w:color="auto"/>
        <w:right w:val="none" w:sz="0" w:space="0" w:color="auto"/>
      </w:divBdr>
    </w:div>
    <w:div w:id="1964723959">
      <w:bodyDiv w:val="1"/>
      <w:marLeft w:val="0"/>
      <w:marRight w:val="0"/>
      <w:marTop w:val="0"/>
      <w:marBottom w:val="0"/>
      <w:divBdr>
        <w:top w:val="none" w:sz="0" w:space="0" w:color="auto"/>
        <w:left w:val="none" w:sz="0" w:space="0" w:color="auto"/>
        <w:bottom w:val="none" w:sz="0" w:space="0" w:color="auto"/>
        <w:right w:val="none" w:sz="0" w:space="0" w:color="auto"/>
      </w:divBdr>
    </w:div>
    <w:div w:id="1979458755">
      <w:bodyDiv w:val="1"/>
      <w:marLeft w:val="0"/>
      <w:marRight w:val="0"/>
      <w:marTop w:val="0"/>
      <w:marBottom w:val="0"/>
      <w:divBdr>
        <w:top w:val="none" w:sz="0" w:space="0" w:color="auto"/>
        <w:left w:val="none" w:sz="0" w:space="0" w:color="auto"/>
        <w:bottom w:val="none" w:sz="0" w:space="0" w:color="auto"/>
        <w:right w:val="none" w:sz="0" w:space="0" w:color="auto"/>
      </w:divBdr>
    </w:div>
    <w:div w:id="1981882118">
      <w:bodyDiv w:val="1"/>
      <w:marLeft w:val="0"/>
      <w:marRight w:val="0"/>
      <w:marTop w:val="0"/>
      <w:marBottom w:val="0"/>
      <w:divBdr>
        <w:top w:val="none" w:sz="0" w:space="0" w:color="auto"/>
        <w:left w:val="none" w:sz="0" w:space="0" w:color="auto"/>
        <w:bottom w:val="none" w:sz="0" w:space="0" w:color="auto"/>
        <w:right w:val="none" w:sz="0" w:space="0" w:color="auto"/>
      </w:divBdr>
      <w:divsChild>
        <w:div w:id="203492900">
          <w:marLeft w:val="0"/>
          <w:marRight w:val="0"/>
          <w:marTop w:val="0"/>
          <w:marBottom w:val="0"/>
          <w:divBdr>
            <w:top w:val="none" w:sz="0" w:space="0" w:color="auto"/>
            <w:left w:val="none" w:sz="0" w:space="0" w:color="auto"/>
            <w:bottom w:val="none" w:sz="0" w:space="0" w:color="auto"/>
            <w:right w:val="none" w:sz="0" w:space="0" w:color="auto"/>
          </w:divBdr>
          <w:divsChild>
            <w:div w:id="706150470">
              <w:marLeft w:val="0"/>
              <w:marRight w:val="0"/>
              <w:marTop w:val="0"/>
              <w:marBottom w:val="0"/>
              <w:divBdr>
                <w:top w:val="none" w:sz="0" w:space="0" w:color="auto"/>
                <w:left w:val="none" w:sz="0" w:space="0" w:color="auto"/>
                <w:bottom w:val="none" w:sz="0" w:space="0" w:color="auto"/>
                <w:right w:val="none" w:sz="0" w:space="0" w:color="auto"/>
              </w:divBdr>
              <w:divsChild>
                <w:div w:id="373820408">
                  <w:marLeft w:val="0"/>
                  <w:marRight w:val="0"/>
                  <w:marTop w:val="0"/>
                  <w:marBottom w:val="0"/>
                  <w:divBdr>
                    <w:top w:val="none" w:sz="0" w:space="0" w:color="auto"/>
                    <w:left w:val="none" w:sz="0" w:space="0" w:color="auto"/>
                    <w:bottom w:val="none" w:sz="0" w:space="0" w:color="auto"/>
                    <w:right w:val="none" w:sz="0" w:space="0" w:color="auto"/>
                  </w:divBdr>
                  <w:divsChild>
                    <w:div w:id="1176072300">
                      <w:marLeft w:val="0"/>
                      <w:marRight w:val="0"/>
                      <w:marTop w:val="0"/>
                      <w:marBottom w:val="0"/>
                      <w:divBdr>
                        <w:top w:val="none" w:sz="0" w:space="0" w:color="auto"/>
                        <w:left w:val="none" w:sz="0" w:space="0" w:color="auto"/>
                        <w:bottom w:val="none" w:sz="0" w:space="0" w:color="auto"/>
                        <w:right w:val="none" w:sz="0" w:space="0" w:color="auto"/>
                      </w:divBdr>
                      <w:divsChild>
                        <w:div w:id="787819885">
                          <w:marLeft w:val="0"/>
                          <w:marRight w:val="0"/>
                          <w:marTop w:val="0"/>
                          <w:marBottom w:val="0"/>
                          <w:divBdr>
                            <w:top w:val="none" w:sz="0" w:space="0" w:color="auto"/>
                            <w:left w:val="none" w:sz="0" w:space="0" w:color="auto"/>
                            <w:bottom w:val="none" w:sz="0" w:space="0" w:color="auto"/>
                            <w:right w:val="none" w:sz="0" w:space="0" w:color="auto"/>
                          </w:divBdr>
                          <w:divsChild>
                            <w:div w:id="7648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920519">
      <w:bodyDiv w:val="1"/>
      <w:marLeft w:val="0"/>
      <w:marRight w:val="0"/>
      <w:marTop w:val="0"/>
      <w:marBottom w:val="0"/>
      <w:divBdr>
        <w:top w:val="none" w:sz="0" w:space="0" w:color="auto"/>
        <w:left w:val="none" w:sz="0" w:space="0" w:color="auto"/>
        <w:bottom w:val="none" w:sz="0" w:space="0" w:color="auto"/>
        <w:right w:val="none" w:sz="0" w:space="0" w:color="auto"/>
      </w:divBdr>
    </w:div>
    <w:div w:id="2013489037">
      <w:bodyDiv w:val="1"/>
      <w:marLeft w:val="0"/>
      <w:marRight w:val="0"/>
      <w:marTop w:val="0"/>
      <w:marBottom w:val="0"/>
      <w:divBdr>
        <w:top w:val="none" w:sz="0" w:space="0" w:color="auto"/>
        <w:left w:val="none" w:sz="0" w:space="0" w:color="auto"/>
        <w:bottom w:val="none" w:sz="0" w:space="0" w:color="auto"/>
        <w:right w:val="none" w:sz="0" w:space="0" w:color="auto"/>
      </w:divBdr>
    </w:div>
    <w:div w:id="2055344231">
      <w:bodyDiv w:val="1"/>
      <w:marLeft w:val="0"/>
      <w:marRight w:val="0"/>
      <w:marTop w:val="0"/>
      <w:marBottom w:val="0"/>
      <w:divBdr>
        <w:top w:val="none" w:sz="0" w:space="0" w:color="auto"/>
        <w:left w:val="none" w:sz="0" w:space="0" w:color="auto"/>
        <w:bottom w:val="none" w:sz="0" w:space="0" w:color="auto"/>
        <w:right w:val="none" w:sz="0" w:space="0" w:color="auto"/>
      </w:divBdr>
    </w:div>
    <w:div w:id="2087680506">
      <w:bodyDiv w:val="1"/>
      <w:marLeft w:val="0"/>
      <w:marRight w:val="0"/>
      <w:marTop w:val="0"/>
      <w:marBottom w:val="0"/>
      <w:divBdr>
        <w:top w:val="none" w:sz="0" w:space="0" w:color="auto"/>
        <w:left w:val="none" w:sz="0" w:space="0" w:color="auto"/>
        <w:bottom w:val="none" w:sz="0" w:space="0" w:color="auto"/>
        <w:right w:val="none" w:sz="0" w:space="0" w:color="auto"/>
      </w:divBdr>
    </w:div>
    <w:div w:id="2114978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7T08:31:33.295"/>
    </inkml:context>
    <inkml:brush xml:id="br0">
      <inkml:brushProperty name="width" value="0.1" units="cm"/>
      <inkml:brushProperty name="height" value="0.1" units="cm"/>
      <inkml:brushProperty name="color" value="#FFFFFF"/>
    </inkml:brush>
  </inkml:definitions>
  <inkml:trace contextRef="#ctx0" brushRef="#br0">178 220 24575,'76'0'0,"-72"2"0,-14 3 0,-14 4 0,-7-4 0,1 2 0,-39 13 0,64-14 0,13 0 0,27 9 0,-11-6 0,-5 4 0,0 0 0,32 32 0,-50-44 0,1-1 0,-1 1 0,0 0 0,0 0 0,0 0 0,0 0 0,0 0 0,0 0 0,0 0 0,-1 0 0,1 0 0,0 0 0,0 0 0,-1 1 0,1-1 0,-1 0 0,1 1 0,-1-1 0,0 0 0,1 1 0,-1-1 0,0 0 0,0 1 0,0-1 0,0 0 0,0 1 0,0-1 0,0 0 0,-1 1 0,1-1 0,0 0 0,-1 1 0,1-1 0,-1 0 0,1 1 0,-1-1 0,0 0 0,0 0 0,1 0 0,-1 0 0,0 0 0,0 0 0,0 0 0,0 0 0,0 0 0,0 0 0,0 0 0,-2 0 0,-8 5 0,0 0 0,-1-1 0,1-1 0,-21 6 0,5-1 0,-1-1 0,22-7 0,1 0 0,-1 1 0,0-1 0,1 1 0,-1 1 0,1-1 0,-7 5 0,12-7 0,-1 1 0,0 0 0,1-1 0,-1 1 0,0 0 0,1-1 0,-1 1 0,1 0 0,-1 0 0,1 0 0,0-1 0,-1 1 0,1 0 0,0 0 0,-1 0 0,1 0 0,0 0 0,0 0 0,0 0 0,0 1 0,0 0 0,1 0 0,0 1 0,-1-1 0,1 0 0,0 0 0,0 0 0,0 0 0,0 0 0,1 0 0,-1 0 0,3 3 0,2 0 0,0 0 0,0 0 0,0-1 0,0 0 0,1 0 0,-1-1 0,1 1 0,8 2 0,61 19 0,-75-25 0,0 1 0,1-1 0,0 1 0,0-1 0,0 1 0,0-1 0,0 0 0,-1 0 0,1 0 0,0 0 0,0 0 0,0-1 0,0 1 0,0 0 0,0-1 0,-1 1 0,1-1 0,0 0 0,0 0 0,-1 1 0,1-1 0,0 0 0,-1-1 0,1 1 0,-1 0 0,0 0 0,1-1 0,-1 1 0,0 0 0,0-1 0,1 0 0,-1 1 0,-1-1 0,1 0 0,0 1 0,0-1 0,-1 0 0,1 0 0,0 1 0,-1-1 0,0 0 0,0 0 0,1-2 0,-1 1 0,1-1 0,-1 1 0,0 0 0,0 0 0,0 0 0,0-1 0,-1 1 0,1 0 0,-1 0 0,0 0 0,0 0 0,0 0 0,0 0 0,-1 0 0,1 0 0,-1 0 0,1 1 0,-1-1 0,0 0 0,0 1 0,0 0 0,-1-1 0,1 1 0,-5-3 0,7 5 0,-1-1 0,0 1 0,0-1 0,0 1 0,0 0 0,0 0 0,0-1 0,0 1 0,0 0 0,0 0 0,1 0 0,-1 0 0,0 0 0,0 0 0,0 0 0,0 1 0,0-1 0,0 0 0,0 0 0,0 1 0,0-1 0,0 1 0,1-1 0,-1 1 0,0-1 0,0 1 0,1-1 0,-2 2 0,-16 27 0,14-17 0,0-1 0,2 0 0,-4 23 0,7 25 0,0-47 0,-1 0 0,0 1 0,0-1 0,-1 1 0,-4 17 0,5-30 0,0 0 0,0 0 0,0 0 0,0 1 0,0-1 0,1 0 0,-1 0 0,0 0 0,0 1 0,0-1 0,0 0 0,0 0 0,0 0 0,0 1 0,0-1 0,0 0 0,-1 0 0,1 0 0,0 1 0,0-1 0,0 0 0,0 0 0,0 0 0,0 1 0,0-1 0,0 0 0,0 0 0,-1 0 0,1 1 0,0-1 0,0 0 0,0 0 0,0 0 0,-1 0 0,1 0 0,0 0 0,0 1 0,0-1 0,-1 0 0,1 0 0,0 0 0,0 0 0,0 0 0,-1 0 0,1 0 0,0 0 0,0 0 0,0 0 0,-1 0 0,1 0 0,0 0 0,0 0 0,-1 0 0,1 0 0,0 0 0,0 0 0,0 0 0,-1-1 0,1 1 0,-6-18 0,0-26 0,-5-44 0,7 63 0,-3-46 0,8-217 0,1 417 0,-5 142 0,3-269 0,0 1 0,0-1 0,0 0 0,0 1 0,-1-1 0,1 1 0,-1-1 0,0 0 0,1 1 0,-1-1 0,0 0 0,-1 0 0,1 0 0,0 0 0,-1 0 0,1 0 0,-1 0 0,1 0 0,-1 0 0,-2 1 0,3-3 0,0 1 0,1-1 0,-1 0 0,0 0 0,0 0 0,1 0 0,-1 0 0,0 0 0,0 0 0,1 0 0,-1 0 0,0 0 0,0 0 0,1 0 0,-1-1 0,0 1 0,0 0 0,1-1 0,-1 1 0,0 0 0,1-1 0,-2 0 0,-17-24 0,13 12 0,1 1 0,1-1 0,0 0 0,1-1 0,0 1 0,1-1 0,-1-25 0,1 18 0,-2-9 0,-13-49 0,11 56 0,1 0 0,0-1 0,-1-41 0,7-156-1365,-1 202-5461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D612B639-A8A7-4FA9-B66D-883E279F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Marc Aradillas</cp:lastModifiedBy>
  <cp:revision>2</cp:revision>
  <dcterms:created xsi:type="dcterms:W3CDTF">2025-01-27T08:58:00Z</dcterms:created>
  <dcterms:modified xsi:type="dcterms:W3CDTF">2025-01-27T08:58:00Z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