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jc w:val="center"/>
      </w:pPr>
      <w:r>
        <w:rPr>
          <w:rFonts w:ascii="Arial" w:cs="Arial" w:eastAsia="Arial" w:hAnsi="Arial"/>
          <w:b/>
          <w:bCs/>
          <w:color w:val="1F3864"/>
          <w:sz w:val="64"/>
          <w:szCs w:val="64"/>
        </w:rPr>
        <w:t xml:space="preserve">BATTLE DE COTES</w:t>
      </w:r>
    </w:p>
    <w:p>
      <w:pPr>
        <w:spacing w:before="0" w:after="80"/>
        <w:jc w:val="center"/>
      </w:pPr>
      <w:r>
        <w:rPr>
          <w:rFonts w:ascii="Arial" w:cs="Arial" w:eastAsia="Arial" w:hAnsi="Arial"/>
          <w:color w:val="555555"/>
          <w:sz w:val="28"/>
          <w:szCs w:val="28"/>
        </w:rPr>
        <w:t xml:space="preserve">Plateforme de Tournoi Hebdomadaire de Pari Mutuel</w:t>
      </w:r>
    </w:p>
    <w:p>
      <w:pPr>
        <w:spacing w:before="80" w:after="600"/>
        <w:jc w:val="center"/>
      </w:pPr>
      <w:r>
        <w:rPr>
          <w:rFonts w:ascii="Arial" w:cs="Arial" w:eastAsia="Arial" w:hAnsi="Arial"/>
          <w:i/>
          <w:iCs/>
          <w:color w:val="777777"/>
          <w:sz w:val="24"/>
          <w:szCs w:val="24"/>
        </w:rPr>
        <w:t xml:space="preserve">Analyse Stratégique Complète — Avantages, Risques et Faiblesses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F5E3" w:val="clear"/>
            <w:tcMar>
              <w:top w:type="dxa" w:w="160"/>
              <w:left w:type="dxa" w:w="200"/>
              <w:bottom w:type="dxa" w:w="160"/>
              <w:right w:type="dxa" w:w="200"/>
            </w:tcMar>
          </w:tcPr>
          <w:p>
            <w:pPr>
              <w:jc w:val="center"/>
            </w:pPr>
            <w:r>
              <w:rPr>
                <w:rFonts w:ascii="Arial" w:cs="Arial" w:eastAsia="Arial" w:hAnsi="Arial"/>
                <w:b/>
                <w:bCs/>
                <w:color w:val="1E6B2E"/>
                <w:sz w:val="24"/>
                <w:szCs w:val="24"/>
              </w:rPr>
              <w:t xml:space="preserve">✅ 4 Points Forts</w:t>
            </w:r>
          </w:p>
          <w:p>
            <w:pPr>
              <w:jc w:val="center"/>
            </w:pPr>
            <w:r>
              <w:rPr>
                <w:rFonts w:ascii="Arial" w:cs="Arial" w:eastAsia="Arial" w:hAnsi="Arial"/>
                <w:color w:val="555555"/>
                <w:sz w:val="20"/>
                <w:szCs w:val="20"/>
              </w:rPr>
              <w:t xml:space="preserve">Identifiés &amp; analysés</w:t>
            </w:r>
          </w:p>
        </w:tc>
        <w:tc>
          <w:tcPr>
            <w:tcW w:type="dxa" w:w="3120"/>
            <w:tcBorders>
              <w:top w:val="single" w:color="CCCCCC" w:sz="1"/>
              <w:left w:val="single" w:color="CCCCCC" w:sz="1"/>
              <w:bottom w:val="single" w:color="CCCCCC" w:sz="1"/>
              <w:right w:val="single" w:color="CCCCCC" w:sz="1"/>
            </w:tcBorders>
            <w:shd w:fill="FADBD8" w:val="clear"/>
            <w:tcMar>
              <w:top w:type="dxa" w:w="160"/>
              <w:left w:type="dxa" w:w="200"/>
              <w:bottom w:type="dxa" w:w="160"/>
              <w:right w:type="dxa" w:w="200"/>
            </w:tcMar>
          </w:tcPr>
          <w:p>
            <w:pPr>
              <w:jc w:val="center"/>
            </w:pPr>
            <w:r>
              <w:rPr>
                <w:rFonts w:ascii="Arial" w:cs="Arial" w:eastAsia="Arial" w:hAnsi="Arial"/>
                <w:b/>
                <w:bCs/>
                <w:color w:val="C0392B"/>
                <w:sz w:val="24"/>
                <w:szCs w:val="24"/>
              </w:rPr>
              <w:t xml:space="preserve">⚠️ 11 Faiblesses</w:t>
            </w:r>
          </w:p>
          <w:p>
            <w:pPr>
              <w:jc w:val="center"/>
            </w:pPr>
            <w:r>
              <w:rPr>
                <w:rFonts w:ascii="Arial" w:cs="Arial" w:eastAsia="Arial" w:hAnsi="Arial"/>
                <w:color w:val="555555"/>
                <w:sz w:val="20"/>
                <w:szCs w:val="20"/>
              </w:rPr>
              <w:t xml:space="preserve">Détaillées &amp; démontées</w:t>
            </w:r>
          </w:p>
        </w:tc>
        <w:tc>
          <w:tcPr>
            <w:tcW w:type="dxa" w:w="3120"/>
            <w:tcBorders>
              <w:top w:val="single" w:color="CCCCCC" w:sz="1"/>
              <w:left w:val="single" w:color="CCCCCC" w:sz="1"/>
              <w:bottom w:val="single" w:color="CCCCCC" w:sz="1"/>
              <w:right w:val="single" w:color="CCCCCC" w:sz="1"/>
            </w:tcBorders>
            <w:shd w:fill="FDEBD0" w:val="clear"/>
            <w:tcMar>
              <w:top w:type="dxa" w:w="160"/>
              <w:left w:type="dxa" w:w="200"/>
              <w:bottom w:type="dxa" w:w="160"/>
              <w:right w:type="dxa" w:w="200"/>
            </w:tcMar>
          </w:tcPr>
          <w:p>
            <w:pPr>
              <w:jc w:val="center"/>
            </w:pPr>
            <w:r>
              <w:rPr>
                <w:rFonts w:ascii="Arial" w:cs="Arial" w:eastAsia="Arial" w:hAnsi="Arial"/>
                <w:b/>
                <w:bCs/>
                <w:color w:val="D4700A"/>
                <w:sz w:val="24"/>
                <w:szCs w:val="24"/>
              </w:rPr>
              <w:t xml:space="preserve">🔧 Niveau de Risque</w:t>
            </w:r>
          </w:p>
          <w:p>
            <w:pPr>
              <w:jc w:val="center"/>
            </w:pPr>
            <w:r>
              <w:rPr>
                <w:rFonts w:ascii="Arial" w:cs="Arial" w:eastAsia="Arial" w:hAnsi="Arial"/>
                <w:color w:val="555555"/>
                <w:sz w:val="20"/>
                <w:szCs w:val="20"/>
              </w:rPr>
              <w:t xml:space="preserve">Élevé au lancement</w:t>
            </w:r>
          </w:p>
        </w:tc>
      </w:tr>
    </w:tbl>
    <w:p>
      <w:pPr>
        <w:spacing w:before="400" w:after="0"/>
      </w:pPr>
    </w:p>
    <w:p>
      <w:r>
        <w:br w:type="page"/>
      </w:r>
    </w:p>
    <w:p>
      <w:pPr>
        <w:pStyle w:val="Heading1"/>
        <w:pBdr>
          <w:bottom w:val="single" w:color="1F3864" w:sz="8" w:space="4"/>
        </w:pBdr>
        <w:spacing w:before="360" w:after="200"/>
      </w:pPr>
      <w:r>
        <w:rPr>
          <w:rFonts w:ascii="Arial" w:cs="Arial" w:eastAsia="Arial" w:hAnsi="Arial"/>
          <w:b/>
          <w:bCs/>
          <w:color w:val="1F3864"/>
          <w:sz w:val="36"/>
          <w:szCs w:val="36"/>
        </w:rPr>
        <w:t xml:space="preserve">I. DESCRIPTION DU CONCEPT</w:t>
      </w:r>
    </w:p>
    <w:p>
      <w:pPr>
        <w:spacing w:before="80" w:after="120" w:line="340"/>
      </w:pPr>
      <w:r>
        <w:rPr>
          <w:rFonts w:ascii="Arial" w:cs="Arial" w:eastAsia="Arial" w:hAnsi="Arial"/>
          <w:b w:val="false"/>
          <w:bCs w:val="false"/>
          <w:i w:val="false"/>
          <w:iCs w:val="false"/>
          <w:color w:val="222222"/>
          <w:sz w:val="22"/>
          <w:szCs w:val="22"/>
        </w:rPr>
        <w:t xml:space="preserve">La Battle de Cotes est un tournoi hebdomadaire de pari mutuel conçu pour le marché haïtien. Son principe central repose sur une compétition entre parieurs : contrairement à un bookmaker classique où chaque joueur mise contre la maison, ici, c'est la collecte totale des mises qui constitue la cagnotte, et les gagnants se la partagent selon un algorithme de distribution dynamique.</w:t>
      </w:r>
    </w:p>
    <w:p>
      <w:pPr>
        <w:spacing w:before="80" w:after="0"/>
      </w:pPr>
    </w:p>
    <w:p>
      <w:pPr>
        <w:pStyle w:val="Heading2"/>
        <w:spacing w:before="280" w:after="140"/>
      </w:pPr>
      <w:r>
        <w:rPr>
          <w:rFonts w:ascii="Arial" w:cs="Arial" w:eastAsia="Arial" w:hAnsi="Arial"/>
          <w:b/>
          <w:bCs/>
          <w:color w:val="1F3864"/>
          <w:sz w:val="28"/>
          <w:szCs w:val="28"/>
        </w:rPr>
        <w:t xml:space="preserve">1.1 — Mécaniques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1"/>
                <w:szCs w:val="21"/>
              </w:rPr>
              <w:t xml:space="preserve">PARAMÈTRE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1"/>
                <w:szCs w:val="21"/>
              </w:rPr>
              <w:t xml:space="preserve">VALEUR &amp; EXPLICATION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1"/>
                <w:szCs w:val="21"/>
              </w:rPr>
              <w:t xml:space="preserve">Mise fixe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1"/>
                <w:szCs w:val="21"/>
              </w:rPr>
              <w:t xml:space="preserve">250 Gourdes par fiche — montant unique, non négociable</w:t>
            </w:r>
          </w:p>
        </w:tc>
      </w:tr>
      <w:tr>
        <w:trPr>
          <w:tblHeader w:val="false"/>
        </w:trPr>
        <w:tc>
          <w:tcPr>
            <w:tcW w:type="dxa" w:w="3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1"/>
                <w:szCs w:val="21"/>
              </w:rPr>
              <w:t xml:space="preserve">Cotes acceptées</w:t>
            </w:r>
          </w:p>
        </w:tc>
        <w:tc>
          <w:tcPr>
            <w:tcW w:type="dxa" w:w="58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1"/>
                <w:szCs w:val="21"/>
              </w:rPr>
              <w:t xml:space="preserve">Minimum 20 / Maximum 500 — fourchette volontairement large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1"/>
                <w:szCs w:val="21"/>
              </w:rPr>
              <w:t xml:space="preserve">Fiches par joueur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1"/>
                <w:szCs w:val="21"/>
              </w:rPr>
              <w:t xml:space="preserve">Maximum 2 par utilisateur, vérifiées par reconnaissance faciale</w:t>
            </w:r>
          </w:p>
        </w:tc>
      </w:tr>
      <w:tr>
        <w:trPr>
          <w:tblHeader w:val="false"/>
        </w:trPr>
        <w:tc>
          <w:tcPr>
            <w:tcW w:type="dxa" w:w="3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1"/>
                <w:szCs w:val="21"/>
              </w:rPr>
              <w:t xml:space="preserve">Frais Plateforme</w:t>
            </w:r>
          </w:p>
        </w:tc>
        <w:tc>
          <w:tcPr>
            <w:tcW w:type="dxa" w:w="58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1"/>
                <w:szCs w:val="21"/>
              </w:rPr>
              <w:t xml:space="preserve">10% de la collecte brute — revenu d'exploitation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1"/>
                <w:szCs w:val="21"/>
              </w:rPr>
              <w:t xml:space="preserve">Fonds de Réserve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1"/>
                <w:szCs w:val="21"/>
              </w:rPr>
              <w:t xml:space="preserve">5% de la collecte brute — coussin de sécurité</w:t>
            </w:r>
          </w:p>
        </w:tc>
      </w:tr>
      <w:tr>
        <w:trPr>
          <w:tblHeader w:val="false"/>
        </w:trPr>
        <w:tc>
          <w:tcPr>
            <w:tcW w:type="dxa" w:w="3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1"/>
                <w:szCs w:val="21"/>
              </w:rPr>
              <w:t xml:space="preserve">Pactole Net (P)</w:t>
            </w:r>
          </w:p>
        </w:tc>
        <w:tc>
          <w:tcPr>
            <w:tcW w:type="dxa" w:w="58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1"/>
                <w:szCs w:val="21"/>
              </w:rPr>
              <w:t xml:space="preserve">85% de la collecte brute — distribué aux gagnants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1"/>
                <w:szCs w:val="21"/>
              </w:rPr>
              <w:t xml:space="preserve">Rollover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1"/>
                <w:szCs w:val="21"/>
              </w:rPr>
              <w:t xml:space="preserve">Si aucun gagnant : 85% reportés sur la semaine suivante</w:t>
            </w:r>
          </w:p>
        </w:tc>
      </w:tr>
    </w:tbl>
    <w:p>
      <w:pPr>
        <w:spacing w:before="120" w:after="0"/>
      </w:pPr>
    </w:p>
    <w:p>
      <w:pPr>
        <w:pStyle w:val="Heading2"/>
        <w:spacing w:before="280" w:after="140"/>
      </w:pPr>
      <w:r>
        <w:rPr>
          <w:rFonts w:ascii="Arial" w:cs="Arial" w:eastAsia="Arial" w:hAnsi="Arial"/>
          <w:b/>
          <w:bCs/>
          <w:color w:val="1F3864"/>
          <w:sz w:val="28"/>
          <w:szCs w:val="28"/>
        </w:rPr>
        <w:t xml:space="preserve">1.2 — L'Algorithme de Distribution (La Formule)</w:t>
      </w:r>
    </w:p>
    <w:p>
      <w:pPr>
        <w:spacing w:before="80" w:after="120" w:line="340"/>
      </w:pPr>
      <w:r>
        <w:rPr>
          <w:rFonts w:ascii="Arial" w:cs="Arial" w:eastAsia="Arial" w:hAnsi="Arial"/>
          <w:b w:val="false"/>
          <w:bCs w:val="false"/>
          <w:i w:val="false"/>
          <w:iCs w:val="false"/>
          <w:color w:val="222222"/>
          <w:sz w:val="22"/>
          <w:szCs w:val="22"/>
        </w:rPr>
        <w:t xml:space="preserve">Le calcul du gain final de chaque gagnant passe par trois étapes :</w:t>
      </w:r>
    </w:p>
    <w:p>
      <w:pPr>
        <w:spacing w:before="60" w:after="0"/>
      </w:pPr>
    </w:p>
    <w:p>
      <w:pPr>
        <w:spacing w:before="60" w:after="60"/>
      </w:pPr>
      <w:r>
        <w:rPr>
          <w:rFonts w:ascii="Arial" w:cs="Arial" w:eastAsia="Arial" w:hAnsi="Arial"/>
          <w:b/>
          <w:bCs/>
          <w:color w:val="1F3864"/>
          <w:sz w:val="22"/>
          <w:szCs w:val="22"/>
        </w:rPr>
        <w:t xml:space="preserve">ÉTAPE 1 — Gain de Base (Gbase) :</w:t>
      </w:r>
    </w:p>
    <w:p>
      <w:pPr>
        <w:spacing w:before="80" w:after="120" w:line="340"/>
      </w:pPr>
      <w:r>
        <w:rPr>
          <w:rFonts w:ascii="Arial" w:cs="Arial" w:eastAsia="Arial" w:hAnsi="Arial"/>
          <w:b w:val="false"/>
          <w:bCs w:val="false"/>
          <w:i w:val="false"/>
          <w:iCs w:val="false"/>
          <w:color w:val="222222"/>
          <w:sz w:val="22"/>
          <w:szCs w:val="22"/>
        </w:rPr>
        <w:t xml:space="preserve">Gbase(i) = 250 × Ci   →   C'est le montant garanti basé sur la cote jouée, comme un bookmaker classique.</w:t>
      </w:r>
    </w:p>
    <w:p>
      <w:pPr>
        <w:spacing w:before="80" w:after="60"/>
      </w:pPr>
      <w:r>
        <w:rPr>
          <w:rFonts w:ascii="Arial" w:cs="Arial" w:eastAsia="Arial" w:hAnsi="Arial"/>
          <w:b/>
          <w:bCs/>
          <w:color w:val="1F3864"/>
          <w:sz w:val="22"/>
          <w:szCs w:val="22"/>
        </w:rPr>
        <w:t xml:space="preserve">ÉTAPE 2 — Surplus (S) et Pondération (W) :</w:t>
      </w:r>
    </w:p>
    <w:p>
      <w:pPr>
        <w:spacing w:before="80" w:after="120" w:line="340"/>
      </w:pPr>
      <w:r>
        <w:rPr>
          <w:rFonts w:ascii="Arial" w:cs="Arial" w:eastAsia="Arial" w:hAnsi="Arial"/>
          <w:b w:val="false"/>
          <w:bCs w:val="false"/>
          <w:i w:val="false"/>
          <w:iCs w:val="false"/>
          <w:color w:val="222222"/>
          <w:sz w:val="22"/>
          <w:szCs w:val="22"/>
        </w:rPr>
        <w:t xml:space="preserve">S = P − ΣGbase   →   Ce qui reste dans le Pactole après paiement de tous les gains de base.</w:t>
      </w:r>
    </w:p>
    <w:p>
      <w:pPr>
        <w:spacing w:before="80" w:after="120" w:line="340"/>
      </w:pPr>
      <w:r>
        <w:rPr>
          <w:rFonts w:ascii="Arial" w:cs="Arial" w:eastAsia="Arial" w:hAnsi="Arial"/>
          <w:b w:val="false"/>
          <w:bCs w:val="false"/>
          <w:i w:val="false"/>
          <w:iCs w:val="false"/>
          <w:color w:val="222222"/>
          <w:sz w:val="22"/>
          <w:szCs w:val="22"/>
        </w:rPr>
        <w:t xml:space="preserve">Wi = (Ci)^1.25   →   Poids individuel : la cote est élevée à la puissance 1.25, pour sur-récompenser la prise de risque.</w:t>
      </w:r>
    </w:p>
    <w:p>
      <w:pPr>
        <w:spacing w:before="80" w:after="60"/>
      </w:pPr>
      <w:r>
        <w:rPr>
          <w:rFonts w:ascii="Arial" w:cs="Arial" w:eastAsia="Arial" w:hAnsi="Arial"/>
          <w:b/>
          <w:bCs/>
          <w:color w:val="1F3864"/>
          <w:sz w:val="22"/>
          <w:szCs w:val="22"/>
        </w:rPr>
        <w:t xml:space="preserve">ÉTAPE 3 — Gain Final (Gf) :</w:t>
      </w:r>
    </w:p>
    <w:p>
      <w:pPr>
        <w:spacing w:before="80" w:after="120" w:line="340"/>
      </w:pPr>
      <w:r>
        <w:rPr>
          <w:rFonts w:ascii="Arial" w:cs="Arial" w:eastAsia="Arial" w:hAnsi="Arial"/>
          <w:b w:val="false"/>
          <w:bCs w:val="false"/>
          <w:i w:val="false"/>
          <w:iCs w:val="false"/>
          <w:color w:val="222222"/>
          <w:sz w:val="22"/>
          <w:szCs w:val="22"/>
        </w:rPr>
        <w:t xml:space="preserve">Gf(i) = Gbase(i) + (S × Wi / ΣWj)   →   Gain de base plus une part du surplus proportionnelle au risque pris.</w:t>
      </w:r>
    </w:p>
    <w:p>
      <w:pPr>
        <w:spacing w:before="100" w:after="0"/>
      </w:pPr>
    </w:p>
    <w:p>
      <w:pPr>
        <w:pStyle w:val="Heading2"/>
        <w:spacing w:before="280" w:after="140"/>
      </w:pPr>
      <w:r>
        <w:rPr>
          <w:rFonts w:ascii="Arial" w:cs="Arial" w:eastAsia="Arial" w:hAnsi="Arial"/>
          <w:b/>
          <w:bCs/>
          <w:color w:val="1F3864"/>
          <w:sz w:val="28"/>
          <w:szCs w:val="28"/>
        </w:rPr>
        <w:t xml:space="preserve">1.3 — Le Système de Sécurité (Ksafe)</w:t>
      </w:r>
    </w:p>
    <w:p>
      <w:pPr>
        <w:spacing w:before="80" w:after="120" w:line="340"/>
      </w:pPr>
      <w:r>
        <w:rPr>
          <w:rFonts w:ascii="Arial" w:cs="Arial" w:eastAsia="Arial" w:hAnsi="Arial"/>
          <w:b w:val="false"/>
          <w:bCs w:val="false"/>
          <w:i w:val="false"/>
          <w:iCs w:val="false"/>
          <w:color w:val="222222"/>
          <w:sz w:val="22"/>
          <w:szCs w:val="22"/>
        </w:rPr>
        <w:t xml:space="preserve">En cas de weekend catastrophique (trop de gagnants), trois zones déclenchent des protections automatiques :</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ZONE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CONDITION</w:t>
            </w:r>
          </w:p>
        </w:tc>
        <w:tc>
          <w:tcPr>
            <w:tcW w:type="dxa" w:w="41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val="false"/>
                <w:bCs w:val="false"/>
                <w:color w:val="222222"/>
                <w:sz w:val="20"/>
                <w:szCs w:val="20"/>
              </w:rPr>
              <w:t xml:space="preserve">🟢 VERTE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val="false"/>
                <w:bCs w:val="false"/>
                <w:color w:val="222222"/>
                <w:sz w:val="20"/>
                <w:szCs w:val="20"/>
              </w:rPr>
              <w:t xml:space="preserve">Dette &lt; 85% du Pactole</w:t>
            </w:r>
          </w:p>
        </w:tc>
        <w:tc>
          <w:tcPr>
            <w:tcW w:type="dxa" w:w="4160"/>
            <w:tcBorders>
              <w:top w:val="single" w:color="CCCCCC" w:sz="1"/>
              <w:left w:val="single" w:color="CCCCCC" w:sz="1"/>
              <w:bottom w:val="single" w:color="CCCCCC" w:sz="1"/>
              <w:right w:val="single" w:color="CCCCCC" w:sz="1"/>
            </w:tcBorders>
            <w:shd w:fill="D5F5E3" w:val="clear"/>
            <w:tcMar>
              <w:top w:type="dxa" w:w="80"/>
              <w:left w:type="dxa" w:w="160"/>
              <w:bottom w:type="dxa" w:w="80"/>
              <w:right w:type="dxa" w:w="80"/>
            </w:tcMar>
          </w:tcPr>
          <w:p>
            <w:r>
              <w:rPr>
                <w:rFonts w:ascii="Arial" w:cs="Arial" w:eastAsia="Arial" w:hAnsi="Arial"/>
                <w:b w:val="false"/>
                <w:bCs w:val="false"/>
                <w:color w:val="222222"/>
                <w:sz w:val="20"/>
                <w:szCs w:val="20"/>
              </w:rPr>
              <w:t xml:space="preserve">Paiement intégral : Gbase + Bonus surplus</w:t>
            </w:r>
          </w:p>
        </w:tc>
      </w:tr>
      <w:tr>
        <w:tc>
          <w:tcPr>
            <w:tcW w:type="dxa" w:w="220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80"/>
            </w:tcMar>
          </w:tcPr>
          <w:p>
            <w:r>
              <w:rPr>
                <w:rFonts w:ascii="Arial" w:cs="Arial" w:eastAsia="Arial" w:hAnsi="Arial"/>
                <w:b w:val="false"/>
                <w:bCs w:val="false"/>
                <w:color w:val="222222"/>
                <w:sz w:val="20"/>
                <w:szCs w:val="20"/>
              </w:rPr>
              <w:t xml:space="preserve">🟡 ORANGE</w:t>
            </w:r>
          </w:p>
        </w:tc>
        <w:tc>
          <w:tcPr>
            <w:tcW w:type="dxa" w:w="300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80"/>
            </w:tcMar>
          </w:tcPr>
          <w:p>
            <w:r>
              <w:rPr>
                <w:rFonts w:ascii="Arial" w:cs="Arial" w:eastAsia="Arial" w:hAnsi="Arial"/>
                <w:b w:val="false"/>
                <w:bCs w:val="false"/>
                <w:color w:val="222222"/>
                <w:sz w:val="20"/>
                <w:szCs w:val="20"/>
              </w:rPr>
              <w:t xml:space="preserve">Dette entre 85% et 110%</w:t>
            </w:r>
          </w:p>
        </w:tc>
        <w:tc>
          <w:tcPr>
            <w:tcW w:type="dxa" w:w="4160"/>
            <w:tcBorders>
              <w:top w:val="single" w:color="CCCCCC" w:sz="1"/>
              <w:left w:val="single" w:color="CCCCCC" w:sz="1"/>
              <w:bottom w:val="single" w:color="CCCCCC" w:sz="1"/>
              <w:right w:val="single" w:color="CCCCCC" w:sz="1"/>
            </w:tcBorders>
            <w:shd w:fill="FDEBD0" w:val="clear"/>
            <w:tcMar>
              <w:top w:type="dxa" w:w="80"/>
              <w:left w:type="dxa" w:w="160"/>
              <w:bottom w:type="dxa" w:w="80"/>
              <w:right w:type="dxa" w:w="80"/>
            </w:tcMar>
          </w:tcPr>
          <w:p>
            <w:r>
              <w:rPr>
                <w:rFonts w:ascii="Arial" w:cs="Arial" w:eastAsia="Arial" w:hAnsi="Arial"/>
                <w:b w:val="false"/>
                <w:bCs w:val="false"/>
                <w:color w:val="222222"/>
                <w:sz w:val="20"/>
                <w:szCs w:val="20"/>
              </w:rPr>
              <w:t xml:space="preserve">Utilisation de la réserve (5%) et des frais (10%) pour couvrir les Gbase</w:t>
            </w:r>
          </w:p>
        </w:tc>
      </w:tr>
      <w:tr>
        <w:tc>
          <w:tcPr>
            <w:tcW w:type="dxa" w:w="220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80"/>
            </w:tcMar>
          </w:tcPr>
          <w:p>
            <w:r>
              <w:rPr>
                <w:rFonts w:ascii="Arial" w:cs="Arial" w:eastAsia="Arial" w:hAnsi="Arial"/>
                <w:b w:val="false"/>
                <w:bCs w:val="false"/>
                <w:color w:val="222222"/>
                <w:sz w:val="20"/>
                <w:szCs w:val="20"/>
              </w:rPr>
              <w:t xml:space="preserve">🔴 ROUGE</w:t>
            </w:r>
          </w:p>
        </w:tc>
        <w:tc>
          <w:tcPr>
            <w:tcW w:type="dxa" w:w="300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80"/>
            </w:tcMar>
          </w:tcPr>
          <w:p>
            <w:r>
              <w:rPr>
                <w:rFonts w:ascii="Arial" w:cs="Arial" w:eastAsia="Arial" w:hAnsi="Arial"/>
                <w:b w:val="false"/>
                <w:bCs w:val="false"/>
                <w:color w:val="222222"/>
                <w:sz w:val="20"/>
                <w:szCs w:val="20"/>
              </w:rPr>
              <w:t xml:space="preserve">Dette &gt; 110%</w:t>
            </w:r>
          </w:p>
        </w:tc>
        <w:tc>
          <w:tcPr>
            <w:tcW w:type="dxa" w:w="4160"/>
            <w:tcBorders>
              <w:top w:val="single" w:color="CCCCCC" w:sz="1"/>
              <w:left w:val="single" w:color="CCCCCC" w:sz="1"/>
              <w:bottom w:val="single" w:color="CCCCCC" w:sz="1"/>
              <w:right w:val="single" w:color="CCCCCC" w:sz="1"/>
            </w:tcBorders>
            <w:shd w:fill="FADBD8" w:val="clear"/>
            <w:tcMar>
              <w:top w:type="dxa" w:w="80"/>
              <w:left w:type="dxa" w:w="160"/>
              <w:bottom w:type="dxa" w:w="80"/>
              <w:right w:type="dxa" w:w="80"/>
            </w:tcMar>
          </w:tcPr>
          <w:p>
            <w:r>
              <w:rPr>
                <w:rFonts w:ascii="Arial" w:cs="Arial" w:eastAsia="Arial" w:hAnsi="Arial"/>
                <w:b w:val="false"/>
                <w:bCs w:val="false"/>
                <w:color w:val="222222"/>
                <w:sz w:val="20"/>
                <w:szCs w:val="20"/>
              </w:rPr>
              <w:t xml:space="preserve">Activation de Ksafe : tous les gains multipliés par Ksafe = Collecte Brute × 1.10 / ΣGbase</w:t>
            </w:r>
          </w:p>
        </w:tc>
      </w:tr>
    </w:tbl>
    <w:p>
      <w:pPr>
        <w:spacing w:before="200" w:after="0"/>
      </w:pPr>
    </w:p>
    <w:p>
      <w:r>
        <w:br w:type="page"/>
      </w:r>
    </w:p>
    <w:p>
      <w:pPr>
        <w:pStyle w:val="Heading1"/>
        <w:pBdr>
          <w:bottom w:val="single" w:color="1E6B2E" w:sz="8" w:space="4"/>
        </w:pBdr>
        <w:spacing w:before="360" w:after="200"/>
      </w:pPr>
      <w:r>
        <w:rPr>
          <w:rFonts w:ascii="Arial" w:cs="Arial" w:eastAsia="Arial" w:hAnsi="Arial"/>
          <w:b/>
          <w:bCs/>
          <w:color w:val="1E6B2E"/>
          <w:sz w:val="36"/>
          <w:szCs w:val="36"/>
        </w:rPr>
        <w:t xml:space="preserve">II. LES POINTS FORTS</w:t>
      </w:r>
    </w:p>
    <w:p>
      <w:pPr>
        <w:spacing w:before="80" w:after="120" w:line="340"/>
      </w:pPr>
      <w:r>
        <w:rPr>
          <w:rFonts w:ascii="Arial" w:cs="Arial" w:eastAsia="Arial" w:hAnsi="Arial"/>
          <w:b w:val="false"/>
          <w:bCs w:val="false"/>
          <w:i w:val="false"/>
          <w:iCs w:val="false"/>
          <w:color w:val="222222"/>
          <w:sz w:val="22"/>
          <w:szCs w:val="22"/>
        </w:rPr>
        <w:t xml:space="preserve">Avant d'analyser les faiblesses en profondeur, il est essentiel de reconnaître honnêtement ce que ce modèle a de réellement solide. Ces points ne sont pas des détails anecdotiques : ils constituent la raison pour laquelle ce concept mérite d'être sérieusement développé.</w:t>
      </w:r>
    </w:p>
    <w:p>
      <w:pPr>
        <w:spacing w:before="80" w:after="0"/>
      </w:pPr>
    </w:p>
    <w:p>
      <w:pPr>
        <w:pStyle w:val="Heading2"/>
        <w:spacing w:before="280" w:after="140"/>
      </w:pPr>
      <w:r>
        <w:rPr>
          <w:rFonts w:ascii="Arial" w:cs="Arial" w:eastAsia="Arial" w:hAnsi="Arial"/>
          <w:b/>
          <w:bCs/>
          <w:color w:val="1E6B2E"/>
          <w:sz w:val="28"/>
          <w:szCs w:val="28"/>
        </w:rPr>
        <w:t xml:space="preserve">2.1 — Une Mécanique de Compétition Émotionnellement Puissante</w:t>
      </w:r>
    </w:p>
    <w:p>
      <w:pPr>
        <w:spacing w:before="80" w:after="120" w:line="340"/>
      </w:pPr>
      <w:r>
        <w:rPr>
          <w:rFonts w:ascii="Arial" w:cs="Arial" w:eastAsia="Arial" w:hAnsi="Arial"/>
          <w:b w:val="false"/>
          <w:bCs w:val="false"/>
          <w:i w:val="false"/>
          <w:iCs w:val="false"/>
          <w:color w:val="222222"/>
          <w:sz w:val="22"/>
          <w:szCs w:val="22"/>
        </w:rPr>
        <w:t xml:space="preserve">Le modèle C^1.25 est le vrai génie de ce système. En appliquant un exposant supérieur à 1, la formule crée une sur-récompense non-linéaire pour les parieurs audacieux. Un joueur qui mise à cote 400 ne gagne pas seulement 4x plus qu'un joueur à cote 100 — il gagne proportionnellement encore plus grâce à l'exposant.</w:t>
      </w:r>
    </w:p>
    <w:p>
      <w:pPr>
        <w:spacing w:before="80" w:after="120" w:line="340"/>
      </w:pPr>
      <w:r>
        <w:rPr>
          <w:rFonts w:ascii="Arial" w:cs="Arial" w:eastAsia="Arial" w:hAnsi="Arial"/>
          <w:b w:val="false"/>
          <w:bCs w:val="false"/>
          <w:i w:val="false"/>
          <w:iCs w:val="false"/>
          <w:color w:val="222222"/>
          <w:sz w:val="22"/>
          <w:szCs w:val="22"/>
        </w:rPr>
        <w:t xml:space="preserve">Ce mécanisme exploite un ressort psychologique fort dans le contexte haïtien : l'aspiration à la montée sociale rapide. Le pari devient une compétition de prestige, pas juste une transaction financière. C'est un levier d'engagement supérieur à n'importe quel jackpot fixe.</w:t>
      </w:r>
    </w:p>
    <w:p>
      <w:pPr>
        <w:spacing w:before="80" w:after="0"/>
      </w:pPr>
    </w:p>
    <w:p>
      <w:pPr>
        <w:pStyle w:val="Heading2"/>
        <w:spacing w:before="280" w:after="140"/>
      </w:pPr>
      <w:r>
        <w:rPr>
          <w:rFonts w:ascii="Arial" w:cs="Arial" w:eastAsia="Arial" w:hAnsi="Arial"/>
          <w:b/>
          <w:bCs/>
          <w:color w:val="1E6B2E"/>
          <w:sz w:val="28"/>
          <w:szCs w:val="28"/>
        </w:rPr>
        <w:t xml:space="preserve">2.2 — Une Architecture Financière Solide et Honnête</w:t>
      </w:r>
    </w:p>
    <w:p>
      <w:pPr>
        <w:spacing w:before="80" w:after="120" w:line="340"/>
      </w:pPr>
      <w:r>
        <w:rPr>
          <w:rFonts w:ascii="Arial" w:cs="Arial" w:eastAsia="Arial" w:hAnsi="Arial"/>
          <w:b w:val="false"/>
          <w:bCs w:val="false"/>
          <w:i w:val="false"/>
          <w:iCs w:val="false"/>
          <w:color w:val="222222"/>
          <w:sz w:val="22"/>
          <w:szCs w:val="22"/>
        </w:rPr>
        <w:t xml:space="preserve">La répartition 10% / 5% / 85% est transparente et équilibrée. Contrairement aux bookmakers classiques qui gardent souvent 15 à 25% de marge, ici 85% revient directement aux joueurs. Cette honnêteté est un argument marketing puissant et un facteur de confiance sur un marché où la méfiance envers les opérateurs de jeux est élevée.</w:t>
      </w:r>
    </w:p>
    <w:p>
      <w:pPr>
        <w:spacing w:before="80" w:after="0"/>
      </w:pPr>
    </w:p>
    <w:p>
      <w:pPr>
        <w:pStyle w:val="Heading2"/>
        <w:spacing w:before="280" w:after="140"/>
      </w:pPr>
      <w:r>
        <w:rPr>
          <w:rFonts w:ascii="Arial" w:cs="Arial" w:eastAsia="Arial" w:hAnsi="Arial"/>
          <w:b/>
          <w:bCs/>
          <w:color w:val="1E6B2E"/>
          <w:sz w:val="28"/>
          <w:szCs w:val="28"/>
        </w:rPr>
        <w:t xml:space="preserve">2.3 — Le Bouclier Ksafe : Une Survie Mathématiquement Garantie</w:t>
      </w:r>
    </w:p>
    <w:p>
      <w:pPr>
        <w:spacing w:before="80" w:after="120" w:line="340"/>
      </w:pPr>
      <w:r>
        <w:rPr>
          <w:rFonts w:ascii="Arial" w:cs="Arial" w:eastAsia="Arial" w:hAnsi="Arial"/>
          <w:b w:val="false"/>
          <w:bCs w:val="false"/>
          <w:i w:val="false"/>
          <w:iCs w:val="false"/>
          <w:color w:val="222222"/>
          <w:sz w:val="22"/>
          <w:szCs w:val="22"/>
        </w:rPr>
        <w:t xml:space="preserve">Le coefficient de lissage Ksafe est élégant : en plafonnant les sorties de fonds à 110% de la collecte, la plateforme ne peut jamais perdre plus qu'elle n'encaisse, augmentation de réserve incluse. C'est une garantie de non-faillite mathématique qui protège aussi bien l'opérateur que la viabilité long terme du jeu pour les parieurs.</w:t>
      </w:r>
    </w:p>
    <w:p>
      <w:pPr>
        <w:spacing w:before="80" w:after="0"/>
      </w:pPr>
    </w:p>
    <w:p>
      <w:pPr>
        <w:pStyle w:val="Heading2"/>
        <w:spacing w:before="280" w:after="140"/>
      </w:pPr>
      <w:r>
        <w:rPr>
          <w:rFonts w:ascii="Arial" w:cs="Arial" w:eastAsia="Arial" w:hAnsi="Arial"/>
          <w:b/>
          <w:bCs/>
          <w:color w:val="1E6B2E"/>
          <w:sz w:val="28"/>
          <w:szCs w:val="28"/>
        </w:rPr>
        <w:t xml:space="preserve">2.4 — Le Verrou Biométrique : La Solution Radicale à la Fraude</w:t>
      </w:r>
    </w:p>
    <w:p>
      <w:pPr>
        <w:spacing w:before="80" w:after="120" w:line="340"/>
      </w:pPr>
      <w:r>
        <w:rPr>
          <w:rFonts w:ascii="Arial" w:cs="Arial" w:eastAsia="Arial" w:hAnsi="Arial"/>
          <w:b w:val="false"/>
          <w:bCs w:val="false"/>
          <w:i w:val="false"/>
          <w:iCs w:val="false"/>
          <w:color w:val="222222"/>
          <w:sz w:val="22"/>
          <w:szCs w:val="22"/>
        </w:rPr>
        <w:t xml:space="preserve">La liaison biométrique (1 visage = 1 compte = 1 numéro mobile money) est la réponse la plus robuste possible au problème numéro 1 des loteries haïtiennes : les syndicats de parieurs organisés qui saturent les systèmes. C'est une mesure courageuse qui, si elle est bien implémentée, donne un avantage concurrentiel réel.</w:t>
      </w:r>
    </w:p>
    <w:p>
      <w:pPr>
        <w:spacing w:before="200" w:after="0"/>
      </w:pPr>
    </w:p>
    <w:p>
      <w:r>
        <w:br w:type="page"/>
      </w:r>
    </w:p>
    <w:p>
      <w:pPr>
        <w:pStyle w:val="Heading1"/>
        <w:pBdr>
          <w:bottom w:val="single" w:color="C0392B" w:sz="8" w:space="4"/>
        </w:pBdr>
        <w:spacing w:before="360" w:after="200"/>
      </w:pPr>
      <w:r>
        <w:rPr>
          <w:rFonts w:ascii="Arial" w:cs="Arial" w:eastAsia="Arial" w:hAnsi="Arial"/>
          <w:b/>
          <w:bCs/>
          <w:color w:val="C0392B"/>
          <w:sz w:val="36"/>
          <w:szCs w:val="36"/>
        </w:rPr>
        <w:t xml:space="preserve">III. LES FAIBLESSES — ANALYSE APPROFONDIE</w:t>
      </w:r>
    </w:p>
    <w:p>
      <w:pPr>
        <w:spacing w:before="80" w:after="120" w:line="340"/>
      </w:pPr>
      <w:r>
        <w:rPr>
          <w:rFonts w:ascii="Arial" w:cs="Arial" w:eastAsia="Arial" w:hAnsi="Arial"/>
          <w:b w:val="false"/>
          <w:bCs w:val="false"/>
          <w:i w:val="false"/>
          <w:iCs w:val="false"/>
          <w:color w:val="222222"/>
          <w:sz w:val="22"/>
          <w:szCs w:val="22"/>
        </w:rPr>
        <w:t xml:space="preserve">Cette section constitue le cœur de l'analyse. Chaque faiblesse est démontée dans ses mécanismes, ses conséquences possibles, et son niveau de danger réel pour la viabilité du projet. L'objectif n'est pas de décourager mais d'obliger à trouver des solutions avant le lancement, pas après.</w:t>
      </w:r>
    </w:p>
    <w:p>
      <w:pPr>
        <w:spacing w:before="80" w:after="0"/>
      </w:pPr>
    </w:p>
    <w:p>
      <w:pPr>
        <w:pBdr>
          <w:bottom w:val="single" w:color="CCCCCC" w:sz="4" w:space="1"/>
        </w:pBdr>
        <w:spacing w:before="160" w:after="160"/>
      </w:pPr>
    </w:p>
    <w:p>
      <w:pPr>
        <w:pStyle w:val="Heading2"/>
        <w:spacing w:before="280" w:after="140"/>
      </w:pPr>
      <w:r>
        <w:rPr>
          <w:rFonts w:ascii="Arial" w:cs="Arial" w:eastAsia="Arial" w:hAnsi="Arial"/>
          <w:b/>
          <w:bCs/>
          <w:color w:val="C0392B"/>
          <w:sz w:val="28"/>
          <w:szCs w:val="28"/>
        </w:rPr>
        <w:t xml:space="preserve">FAIBLESSE #1 — Le Problème du Surplus Négatif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60" w:after="100"/>
            </w:pPr>
            <w:r>
              <w:rPr>
                <w:rFonts w:ascii="Arial" w:cs="Arial" w:eastAsia="Arial" w:hAnsi="Arial"/>
                <w:b/>
                <w:bCs/>
                <w:color w:val="C0392B"/>
                <w:sz w:val="22"/>
                <w:szCs w:val="22"/>
              </w:rPr>
              <w:t xml:space="preserve">⚠️ RISQUE CRITIQUE — Peut rendre la formule impossible à exécuter</w:t>
            </w:r>
          </w:p>
          <w:p>
            <w:pPr>
              <w:spacing w:before="40" w:after="40" w:line="300"/>
            </w:pPr>
            <w:r>
              <w:rPr>
                <w:rFonts w:ascii="Arial" w:cs="Arial" w:eastAsia="Arial" w:hAnsi="Arial"/>
                <w:color w:val="333333"/>
                <w:sz w:val="20"/>
                <w:szCs w:val="20"/>
              </w:rPr>
              <w:t xml:space="preserve">→  Si trop de gagnants ont des cotes élevées, le ΣGbase peut dépasser le Pactole Net (P)</w:t>
            </w:r>
          </w:p>
          <w:p>
            <w:pPr>
              <w:spacing w:before="40" w:after="40" w:line="300"/>
            </w:pPr>
            <w:r>
              <w:rPr>
                <w:rFonts w:ascii="Arial" w:cs="Arial" w:eastAsia="Arial" w:hAnsi="Arial"/>
                <w:color w:val="333333"/>
                <w:sz w:val="20"/>
                <w:szCs w:val="20"/>
              </w:rPr>
              <w:t xml:space="preserve">→  Dans ce cas, S = P − ΣGbase devient NÉGATIF</w:t>
            </w:r>
          </w:p>
          <w:p>
            <w:pPr>
              <w:spacing w:before="40" w:after="40" w:line="300"/>
            </w:pPr>
            <w:r>
              <w:rPr>
                <w:rFonts w:ascii="Arial" w:cs="Arial" w:eastAsia="Arial" w:hAnsi="Arial"/>
                <w:color w:val="333333"/>
                <w:sz w:val="20"/>
                <w:szCs w:val="20"/>
              </w:rPr>
              <w:t xml:space="preserve">→  La formule de gain final s'effondre : on ne peut pas distribuer un surplus inexistant</w:t>
            </w:r>
          </w:p>
        </w:tc>
      </w:tr>
    </w:tbl>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Le document original ne traite ce problème que partiellement via le Ksafe. Mais voici ce qui n'est pas dit : le Ksafe ne s'active qu'en Zone Rouge (dette &gt; 110%). Entre 85% et 110% (Zone Orange), le document dit qu'on "utilise la réserve et les frais" — mais sans préciser le calcul exact, ni ce qui se passe si cela ne suffit toujours pas.</w:t>
      </w:r>
    </w:p>
    <w:p>
      <w:pPr>
        <w:spacing w:before="60" w:after="0"/>
      </w:pPr>
    </w:p>
    <w:p>
      <w:pPr>
        <w:spacing w:before="80" w:after="120" w:line="340"/>
      </w:pPr>
      <w:r>
        <w:rPr>
          <w:rFonts w:ascii="Arial" w:cs="Arial" w:eastAsia="Arial" w:hAnsi="Arial"/>
          <w:b w:val="false"/>
          <w:bCs w:val="false"/>
          <w:i w:val="false"/>
          <w:iCs w:val="false"/>
          <w:color w:val="222222"/>
          <w:sz w:val="22"/>
          <w:szCs w:val="22"/>
        </w:rPr>
        <w:t xml:space="preserve">Exemple chiffré concret :</w:t>
      </w:r>
    </w:p>
    <w:p>
      <w:pPr>
        <w:pStyle w:val="ListParagraph"/>
        <w:numPr>
          <w:ilvl w:val="0"/>
          <w:numId w:val="2"/>
        </w:numPr>
        <w:spacing w:before="60" w:after="60" w:line="320"/>
      </w:pPr>
      <w:r>
        <w:rPr>
          <w:rFonts w:ascii="Arial" w:cs="Arial" w:eastAsia="Arial" w:hAnsi="Arial"/>
          <w:color w:val="222222"/>
          <w:sz w:val="22"/>
          <w:szCs w:val="22"/>
        </w:rPr>
        <w:t xml:space="preserve">200 joueurs participent → Collecte Brute = 200 × 250 = 50 000 Gourdes</w:t>
      </w:r>
    </w:p>
    <w:p>
      <w:pPr>
        <w:pStyle w:val="ListParagraph"/>
        <w:numPr>
          <w:ilvl w:val="0"/>
          <w:numId w:val="2"/>
        </w:numPr>
        <w:spacing w:before="60" w:after="60" w:line="320"/>
      </w:pPr>
      <w:r>
        <w:rPr>
          <w:rFonts w:ascii="Arial" w:cs="Arial" w:eastAsia="Arial" w:hAnsi="Arial"/>
          <w:color w:val="222222"/>
          <w:sz w:val="22"/>
          <w:szCs w:val="22"/>
        </w:rPr>
        <w:t xml:space="preserve">Pactole Net (P) = 85% × 50 000 = 42 500 Gourdes</w:t>
      </w:r>
    </w:p>
    <w:p>
      <w:pPr>
        <w:pStyle w:val="ListParagraph"/>
        <w:numPr>
          <w:ilvl w:val="0"/>
          <w:numId w:val="2"/>
        </w:numPr>
        <w:spacing w:before="60" w:after="60" w:line="320"/>
      </w:pPr>
      <w:r>
        <w:rPr>
          <w:rFonts w:ascii="Arial" w:cs="Arial" w:eastAsia="Arial" w:hAnsi="Arial"/>
          <w:color w:val="222222"/>
          <w:sz w:val="22"/>
          <w:szCs w:val="22"/>
        </w:rPr>
        <w:t xml:space="preserve">Si 3 gagnants ont des cotes de 400, 380 et 350 :</w:t>
      </w:r>
    </w:p>
    <w:p>
      <w:pPr>
        <w:pStyle w:val="ListParagraph"/>
        <w:numPr>
          <w:ilvl w:val="1"/>
          <w:numId w:val="2"/>
        </w:numPr>
        <w:spacing w:before="60" w:after="60" w:line="320"/>
      </w:pPr>
      <w:r>
        <w:rPr>
          <w:rFonts w:ascii="Arial" w:cs="Arial" w:eastAsia="Arial" w:hAnsi="Arial"/>
          <w:color w:val="222222"/>
          <w:sz w:val="22"/>
          <w:szCs w:val="22"/>
        </w:rPr>
        <w:t xml:space="preserve">ΣGbase = (250×400) + (250×380) + (250×350) = 100 000 + 95 000 + 87 500 = 282 500 Gourdes</w:t>
      </w:r>
    </w:p>
    <w:p>
      <w:pPr>
        <w:pStyle w:val="ListParagraph"/>
        <w:numPr>
          <w:ilvl w:val="1"/>
          <w:numId w:val="2"/>
        </w:numPr>
        <w:spacing w:before="60" w:after="60" w:line="320"/>
      </w:pPr>
      <w:r>
        <w:rPr>
          <w:rFonts w:ascii="Arial" w:cs="Arial" w:eastAsia="Arial" w:hAnsi="Arial"/>
          <w:color w:val="222222"/>
          <w:sz w:val="22"/>
          <w:szCs w:val="22"/>
        </w:rPr>
        <w:t xml:space="preserve">Le Pactole de 42 500 Gds est annihilé. La "dette" atteint 565% de la collecte.</w:t>
      </w:r>
    </w:p>
    <w:p>
      <w:pPr>
        <w:pStyle w:val="ListParagraph"/>
        <w:numPr>
          <w:ilvl w:val="1"/>
          <w:numId w:val="2"/>
        </w:numPr>
        <w:spacing w:before="60" w:after="60" w:line="320"/>
      </w:pPr>
      <w:r>
        <w:rPr>
          <w:rFonts w:ascii="Arial" w:cs="Arial" w:eastAsia="Arial" w:hAnsi="Arial"/>
          <w:color w:val="222222"/>
          <w:sz w:val="22"/>
          <w:szCs w:val="22"/>
        </w:rPr>
        <w:t xml:space="preserve">Même en ajoutant la réserve (2 500 Gds) et les frais (5 000 Gds), total disponible : 50 000 Gds.</w:t>
      </w:r>
    </w:p>
    <w:p>
      <w:pPr>
        <w:pStyle w:val="ListParagraph"/>
        <w:numPr>
          <w:ilvl w:val="1"/>
          <w:numId w:val="2"/>
        </w:numPr>
        <w:spacing w:before="60" w:after="60" w:line="320"/>
      </w:pPr>
      <w:r>
        <w:rPr>
          <w:rFonts w:ascii="Arial" w:cs="Arial" w:eastAsia="Arial" w:hAnsi="Arial"/>
          <w:color w:val="222222"/>
          <w:sz w:val="22"/>
          <w:szCs w:val="22"/>
        </w:rPr>
        <w:t xml:space="preserve">Ksafe = 50 000 × 1.10 / 282 500 = 0.195 — les gagnants reçoivent 19,5% de leur cote de base.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60" w:after="100"/>
            </w:pPr>
            <w:r>
              <w:rPr>
                <w:rFonts w:ascii="Arial" w:cs="Arial" w:eastAsia="Arial" w:hAnsi="Arial"/>
                <w:b/>
                <w:bCs/>
                <w:color w:val="C0392B"/>
                <w:sz w:val="22"/>
                <w:szCs w:val="22"/>
              </w:rPr>
              <w:t xml:space="preserve">❌ CONSÉQUENCE COMMERCIALE CATASTROPHIQUE</w:t>
            </w:r>
          </w:p>
          <w:p>
            <w:pPr>
              <w:spacing w:before="40" w:after="40" w:line="300"/>
            </w:pPr>
            <w:r>
              <w:rPr>
                <w:rFonts w:ascii="Arial" w:cs="Arial" w:eastAsia="Arial" w:hAnsi="Arial"/>
                <w:color w:val="333333"/>
                <w:sz w:val="20"/>
                <w:szCs w:val="20"/>
              </w:rPr>
              <w:t xml:space="preserve">→  Un gagnant qui jouait à cote 400 (espérait 100 000 Gds) reçoit 19 500 Gds</w:t>
            </w:r>
          </w:p>
          <w:p>
            <w:pPr>
              <w:spacing w:before="40" w:after="40" w:line="300"/>
            </w:pPr>
            <w:r>
              <w:rPr>
                <w:rFonts w:ascii="Arial" w:cs="Arial" w:eastAsia="Arial" w:hAnsi="Arial"/>
                <w:color w:val="333333"/>
                <w:sz w:val="20"/>
                <w:szCs w:val="20"/>
              </w:rPr>
              <w:t xml:space="preserve">→  Soit une perte de 80% de son gain attendu — une humiliation publique</w:t>
            </w:r>
          </w:p>
          <w:p>
            <w:pPr>
              <w:spacing w:before="40" w:after="40" w:line="300"/>
            </w:pPr>
            <w:r>
              <w:rPr>
                <w:rFonts w:ascii="Arial" w:cs="Arial" w:eastAsia="Arial" w:hAnsi="Arial"/>
                <w:color w:val="333333"/>
                <w:sz w:val="20"/>
                <w:szCs w:val="20"/>
              </w:rPr>
              <w:t xml:space="preserve">→  Cette histoire se propagera instantanément sur les réseaux sociaux haïtiens</w:t>
            </w:r>
          </w:p>
          <w:p>
            <w:pPr>
              <w:spacing w:before="40" w:after="40" w:line="300"/>
            </w:pPr>
            <w:r>
              <w:rPr>
                <w:rFonts w:ascii="Arial" w:cs="Arial" w:eastAsia="Arial" w:hAnsi="Arial"/>
                <w:color w:val="333333"/>
                <w:sz w:val="20"/>
                <w:szCs w:val="20"/>
              </w:rPr>
              <w:t xml:space="preserve">→  La réputation du projet peut être détruite dès la semaine 1 ou 2</w:t>
            </w:r>
          </w:p>
        </w:tc>
      </w:tr>
    </w:tbl>
    <w:p>
      <w:pPr>
        <w:spacing w:before="120" w:after="0"/>
      </w:pPr>
    </w:p>
    <w:p>
      <w:pPr>
        <w:pStyle w:val="Heading2"/>
        <w:spacing w:before="280" w:after="140"/>
      </w:pPr>
      <w:r>
        <w:rPr>
          <w:rFonts w:ascii="Arial" w:cs="Arial" w:eastAsia="Arial" w:hAnsi="Arial"/>
          <w:b/>
          <w:bCs/>
          <w:color w:val="C0392B"/>
          <w:sz w:val="28"/>
          <w:szCs w:val="28"/>
        </w:rPr>
        <w:t xml:space="preserve">FAIBLESSE #2 — La Pédagogie du Lissage Est Insuffisante</w:t>
      </w:r>
    </w:p>
    <w:p>
      <w:pPr>
        <w:spacing w:before="80" w:after="120" w:line="340"/>
      </w:pPr>
      <w:r>
        <w:rPr>
          <w:rFonts w:ascii="Arial" w:cs="Arial" w:eastAsia="Arial" w:hAnsi="Arial"/>
          <w:b w:val="false"/>
          <w:bCs w:val="false"/>
          <w:i w:val="false"/>
          <w:iCs w:val="false"/>
          <w:color w:val="222222"/>
          <w:sz w:val="22"/>
          <w:szCs w:val="22"/>
        </w:rPr>
        <w:t xml:space="preserve">Le document reconnaît lui-même que la Zone Rouge est "commercialement risquée". Mais le conseil de "créer une interface ultra-pédagogique" est vague et sous-estime la nature du problème.</w:t>
      </w:r>
    </w:p>
    <w:p>
      <w:pPr>
        <w:spacing w:before="60" w:after="0"/>
      </w:pPr>
    </w:p>
    <w:p>
      <w:pPr>
        <w:spacing w:before="80" w:after="120" w:line="340"/>
      </w:pPr>
      <w:r>
        <w:rPr>
          <w:rFonts w:ascii="Arial" w:cs="Arial" w:eastAsia="Arial" w:hAnsi="Arial"/>
          <w:b w:val="false"/>
          <w:bCs w:val="false"/>
          <w:i w:val="false"/>
          <w:iCs w:val="false"/>
          <w:color w:val="222222"/>
          <w:sz w:val="22"/>
          <w:szCs w:val="22"/>
        </w:rPr>
        <w:t xml:space="preserve">Voici pourquoi la pédagogie seule ne suffira pas :</w:t>
      </w:r>
    </w:p>
    <w:p>
      <w:pPr>
        <w:pStyle w:val="ListParagraph"/>
        <w:numPr>
          <w:ilvl w:val="0"/>
          <w:numId w:val="2"/>
        </w:numPr>
        <w:spacing w:before="60" w:after="60" w:line="320"/>
      </w:pPr>
      <w:r>
        <w:rPr>
          <w:rFonts w:ascii="Arial" w:cs="Arial" w:eastAsia="Arial" w:hAnsi="Arial"/>
          <w:color w:val="222222"/>
          <w:sz w:val="22"/>
          <w:szCs w:val="22"/>
        </w:rPr>
        <w:t xml:space="preserve">Un joueur haïtien qui mise 250 Gourdes ne lit pas les jauges de risque — il regarde son gain</w:t>
      </w:r>
    </w:p>
    <w:p>
      <w:pPr>
        <w:pStyle w:val="ListParagraph"/>
        <w:numPr>
          <w:ilvl w:val="0"/>
          <w:numId w:val="2"/>
        </w:numPr>
        <w:spacing w:before="60" w:after="60" w:line="320"/>
      </w:pPr>
      <w:r>
        <w:rPr>
          <w:rFonts w:ascii="Arial" w:cs="Arial" w:eastAsia="Arial" w:hAnsi="Arial"/>
          <w:color w:val="222222"/>
          <w:sz w:val="22"/>
          <w:szCs w:val="22"/>
        </w:rPr>
        <w:t xml:space="preserve">La notion de "solidarité" dans un jeu de compétition est psychologiquement contradictoire : on joue pour battre les autres, pas pour les aider</w:t>
      </w:r>
    </w:p>
    <w:p>
      <w:pPr>
        <w:pStyle w:val="ListParagraph"/>
        <w:numPr>
          <w:ilvl w:val="0"/>
          <w:numId w:val="2"/>
        </w:numPr>
        <w:spacing w:before="60" w:after="60" w:line="320"/>
      </w:pPr>
      <w:r>
        <w:rPr>
          <w:rFonts w:ascii="Arial" w:cs="Arial" w:eastAsia="Arial" w:hAnsi="Arial"/>
          <w:color w:val="222222"/>
          <w:sz w:val="22"/>
          <w:szCs w:val="22"/>
        </w:rPr>
        <w:t xml:space="preserve">Le Ksafe peut faire passer une cote de 500 à moins de 100 — pour le joueur, c'est une trahison, pas de la solidarité</w:t>
      </w:r>
    </w:p>
    <w:p>
      <w:pPr>
        <w:pStyle w:val="ListParagraph"/>
        <w:numPr>
          <w:ilvl w:val="0"/>
          <w:numId w:val="2"/>
        </w:numPr>
        <w:spacing w:before="60" w:after="60" w:line="320"/>
      </w:pPr>
      <w:r>
        <w:rPr>
          <w:rFonts w:ascii="Arial" w:cs="Arial" w:eastAsia="Arial" w:hAnsi="Arial"/>
          <w:color w:val="222222"/>
          <w:sz w:val="22"/>
          <w:szCs w:val="22"/>
        </w:rPr>
        <w:t xml:space="preserve">Dans le contexte haïtien, toute réduction de gain perçue comme arbitraire sera interprétée comme une escroquerie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60" w:after="100"/>
            </w:pPr>
            <w:r>
              <w:rPr>
                <w:rFonts w:ascii="Arial" w:cs="Arial" w:eastAsia="Arial" w:hAnsi="Arial"/>
                <w:b/>
                <w:bCs/>
                <w:color w:val="D4700A"/>
                <w:sz w:val="22"/>
                <w:szCs w:val="22"/>
              </w:rPr>
              <w:t xml:space="preserve">🔧 CE QUI MANQUE DANS LE DOCUMENT</w:t>
            </w:r>
          </w:p>
          <w:p>
            <w:pPr>
              <w:spacing w:before="40" w:after="40" w:line="300"/>
            </w:pPr>
            <w:r>
              <w:rPr>
                <w:rFonts w:ascii="Arial" w:cs="Arial" w:eastAsia="Arial" w:hAnsi="Arial"/>
                <w:color w:val="333333"/>
                <w:sz w:val="20"/>
                <w:szCs w:val="20"/>
              </w:rPr>
              <w:t xml:space="preserve">→  Aucune simulation sur le seuil exact à partir duquel le Ksafe devient perceptible par les joueurs</w:t>
            </w:r>
          </w:p>
          <w:p>
            <w:pPr>
              <w:spacing w:before="40" w:after="40" w:line="300"/>
            </w:pPr>
            <w:r>
              <w:rPr>
                <w:rFonts w:ascii="Arial" w:cs="Arial" w:eastAsia="Arial" w:hAnsi="Arial"/>
                <w:color w:val="333333"/>
                <w:sz w:val="20"/>
                <w:szCs w:val="20"/>
              </w:rPr>
              <w:t xml:space="preserve">→  Aucune stratégie de communication de crise pré-définie pour le premier weekend de Zone Rouge</w:t>
            </w:r>
          </w:p>
          <w:p>
            <w:pPr>
              <w:spacing w:before="40" w:after="40" w:line="300"/>
            </w:pPr>
            <w:r>
              <w:rPr>
                <w:rFonts w:ascii="Arial" w:cs="Arial" w:eastAsia="Arial" w:hAnsi="Arial"/>
                <w:color w:val="333333"/>
                <w:sz w:val="20"/>
                <w:szCs w:val="20"/>
              </w:rPr>
              <w:t xml:space="preserve">→  Aucune réflexion sur les recours légaux que des joueurs mécontents pourraient exercer en Haïti</w:t>
            </w:r>
          </w:p>
        </w:tc>
      </w:tr>
    </w:tbl>
    <w:p>
      <w:pPr>
        <w:spacing w:before="120" w:after="0"/>
      </w:pPr>
    </w:p>
    <w:p>
      <w:pPr>
        <w:pStyle w:val="Heading2"/>
        <w:spacing w:before="280" w:after="140"/>
      </w:pPr>
      <w:r>
        <w:rPr>
          <w:rFonts w:ascii="Arial" w:cs="Arial" w:eastAsia="Arial" w:hAnsi="Arial"/>
          <w:b/>
          <w:bCs/>
          <w:color w:val="C0392B"/>
          <w:sz w:val="28"/>
          <w:szCs w:val="28"/>
        </w:rPr>
        <w:t xml:space="preserve">FAIBLESSE #3 — La Fragilité Financière au Lancement</w:t>
      </w:r>
    </w:p>
    <w:p>
      <w:pPr>
        <w:spacing w:before="80" w:after="120" w:line="340"/>
      </w:pPr>
      <w:r>
        <w:rPr>
          <w:rFonts w:ascii="Arial" w:cs="Arial" w:eastAsia="Arial" w:hAnsi="Arial"/>
          <w:b w:val="false"/>
          <w:bCs w:val="false"/>
          <w:i w:val="false"/>
          <w:iCs w:val="false"/>
          <w:color w:val="222222"/>
          <w:sz w:val="22"/>
          <w:szCs w:val="22"/>
        </w:rPr>
        <w:t xml:space="preserve">C'est probablement la faiblesse la plus dangereuse à court terme. Le système est conçu pour être stable à maturité, avec une réserve accumulée sur de nombreuses semaines. Mais les premières semaines sont une période de vulnérabilité extrême.</w:t>
      </w:r>
    </w:p>
    <w:p>
      <w:pPr>
        <w:spacing w:before="60" w:after="0"/>
      </w:pPr>
    </w:p>
    <w:p>
      <w:pPr>
        <w:spacing w:before="80" w:after="120" w:line="340"/>
      </w:pPr>
      <w:r>
        <w:rPr>
          <w:rFonts w:ascii="Arial" w:cs="Arial" w:eastAsia="Arial" w:hAnsi="Arial"/>
          <w:b w:val="false"/>
          <w:bCs w:val="false"/>
          <w:i w:val="false"/>
          <w:iCs w:val="false"/>
          <w:color w:val="222222"/>
          <w:sz w:val="22"/>
          <w:szCs w:val="22"/>
        </w:rPr>
        <w:t xml:space="preserve">Voici le problème mathématique du démarrage :</w:t>
      </w:r>
    </w:p>
    <w:p>
      <w:pPr>
        <w:pStyle w:val="ListParagraph"/>
        <w:numPr>
          <w:ilvl w:val="0"/>
          <w:numId w:val="2"/>
        </w:numPr>
        <w:spacing w:before="60" w:after="60" w:line="320"/>
      </w:pPr>
      <w:r>
        <w:rPr>
          <w:rFonts w:ascii="Arial" w:cs="Arial" w:eastAsia="Arial" w:hAnsi="Arial"/>
          <w:color w:val="222222"/>
          <w:sz w:val="22"/>
          <w:szCs w:val="22"/>
        </w:rPr>
        <w:t xml:space="preserve">Semaine 1 : 100 joueurs → Réserve = 5% × 25 000 = 1 250 Gourdes. Quasi inutile en cas de casse.</w:t>
      </w:r>
    </w:p>
    <w:p>
      <w:pPr>
        <w:pStyle w:val="ListParagraph"/>
        <w:numPr>
          <w:ilvl w:val="0"/>
          <w:numId w:val="2"/>
        </w:numPr>
        <w:spacing w:before="60" w:after="60" w:line="320"/>
      </w:pPr>
      <w:r>
        <w:rPr>
          <w:rFonts w:ascii="Arial" w:cs="Arial" w:eastAsia="Arial" w:hAnsi="Arial"/>
          <w:color w:val="222222"/>
          <w:sz w:val="22"/>
          <w:szCs w:val="22"/>
        </w:rPr>
        <w:t xml:space="preserve">Semaine 2 : si une casse survient, les fonds propres de l'opérateur devront combler l'écart</w:t>
      </w:r>
    </w:p>
    <w:p>
      <w:pPr>
        <w:pStyle w:val="ListParagraph"/>
        <w:numPr>
          <w:ilvl w:val="0"/>
          <w:numId w:val="2"/>
        </w:numPr>
        <w:spacing w:before="60" w:after="60" w:line="320"/>
      </w:pPr>
      <w:r>
        <w:rPr>
          <w:rFonts w:ascii="Arial" w:cs="Arial" w:eastAsia="Arial" w:hAnsi="Arial"/>
          <w:color w:val="222222"/>
          <w:sz w:val="22"/>
          <w:szCs w:val="22"/>
        </w:rPr>
        <w:t xml:space="preserve">Le document dit de "injecter vos propres fonds" mais ne chiffre pas le capital de démarrage minimal nécessaire</w:t>
      </w:r>
    </w:p>
    <w:p>
      <w:pPr>
        <w:pStyle w:val="ListParagraph"/>
        <w:numPr>
          <w:ilvl w:val="0"/>
          <w:numId w:val="2"/>
        </w:numPr>
        <w:spacing w:before="60" w:after="60" w:line="320"/>
      </w:pPr>
      <w:r>
        <w:rPr>
          <w:rFonts w:ascii="Arial" w:cs="Arial" w:eastAsia="Arial" w:hAnsi="Arial"/>
          <w:color w:val="222222"/>
          <w:sz w:val="22"/>
          <w:szCs w:val="22"/>
        </w:rPr>
        <w:t xml:space="preserve">Sans ce chiffre, le fondateur ne sait pas combien lever avant le lancement</w:t>
      </w:r>
    </w:p>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De plus, le rollover crée un risque de spirale négative :</w:t>
      </w:r>
    </w:p>
    <w:p>
      <w:pPr>
        <w:pStyle w:val="ListParagraph"/>
        <w:numPr>
          <w:ilvl w:val="0"/>
          <w:numId w:val="2"/>
        </w:numPr>
        <w:spacing w:before="60" w:after="60" w:line="320"/>
      </w:pPr>
      <w:r>
        <w:rPr>
          <w:rFonts w:ascii="Arial" w:cs="Arial" w:eastAsia="Arial" w:hAnsi="Arial"/>
          <w:color w:val="222222"/>
          <w:sz w:val="22"/>
          <w:szCs w:val="22"/>
        </w:rPr>
        <w:t xml:space="preserve">Semaine sans gagnant → 85% reportés → Pactole semaine suivante explose</w:t>
      </w:r>
    </w:p>
    <w:p>
      <w:pPr>
        <w:pStyle w:val="ListParagraph"/>
        <w:numPr>
          <w:ilvl w:val="0"/>
          <w:numId w:val="2"/>
        </w:numPr>
        <w:spacing w:before="60" w:after="60" w:line="320"/>
      </w:pPr>
      <w:r>
        <w:rPr>
          <w:rFonts w:ascii="Arial" w:cs="Arial" w:eastAsia="Arial" w:hAnsi="Arial"/>
          <w:color w:val="222222"/>
          <w:sz w:val="22"/>
          <w:szCs w:val="22"/>
        </w:rPr>
        <w:t xml:space="preserve">Un gros pactole attire plus de joueurs, augmentant la probabilité d'un weekend de casse massive</w:t>
      </w:r>
    </w:p>
    <w:p>
      <w:pPr>
        <w:pStyle w:val="ListParagraph"/>
        <w:numPr>
          <w:ilvl w:val="0"/>
          <w:numId w:val="2"/>
        </w:numPr>
        <w:spacing w:before="60" w:after="60" w:line="320"/>
      </w:pPr>
      <w:r>
        <w:rPr>
          <w:rFonts w:ascii="Arial" w:cs="Arial" w:eastAsia="Arial" w:hAnsi="Arial"/>
          <w:color w:val="222222"/>
          <w:sz w:val="22"/>
          <w:szCs w:val="22"/>
        </w:rPr>
        <w:t xml:space="preserve">Plus le rollover s'accumule, plus le risque de perte catastrophique en Zone Rouge augmente</w:t>
      </w:r>
    </w:p>
    <w:p>
      <w:pPr>
        <w:spacing w:before="120" w:after="0"/>
      </w:pPr>
    </w:p>
    <w:p>
      <w:pPr>
        <w:pStyle w:val="Heading2"/>
        <w:spacing w:before="280" w:after="140"/>
      </w:pPr>
      <w:r>
        <w:rPr>
          <w:rFonts w:ascii="Arial" w:cs="Arial" w:eastAsia="Arial" w:hAnsi="Arial"/>
          <w:b/>
          <w:bCs/>
          <w:color w:val="C0392B"/>
          <w:sz w:val="28"/>
          <w:szCs w:val="28"/>
        </w:rPr>
        <w:t xml:space="preserve">FAIBLESSE #4 — La Limite de 2 Fiches Crée un Plafond de Croissance</w:t>
      </w:r>
    </w:p>
    <w:p>
      <w:pPr>
        <w:spacing w:before="80" w:after="120" w:line="340"/>
      </w:pPr>
      <w:r>
        <w:rPr>
          <w:rFonts w:ascii="Arial" w:cs="Arial" w:eastAsia="Arial" w:hAnsi="Arial"/>
          <w:b w:val="false"/>
          <w:bCs w:val="false"/>
          <w:i w:val="false"/>
          <w:iCs w:val="false"/>
          <w:color w:val="222222"/>
          <w:sz w:val="22"/>
          <w:szCs w:val="22"/>
        </w:rPr>
        <w:t xml:space="preserve">La restriction à 2 fiches par utilisateur est bien justifiée en termes de sécurité anti-fraude. Mais ses conséquences sur le chiffre d'affaires et l'engagement des joueurs ne sont pas analysées dans le document.</w:t>
      </w:r>
    </w:p>
    <w:p>
      <w:pPr>
        <w:spacing w:before="60" w:after="0"/>
      </w:pPr>
    </w:p>
    <w:p>
      <w:pPr>
        <w:pStyle w:val="ListParagraph"/>
        <w:numPr>
          <w:ilvl w:val="0"/>
          <w:numId w:val="2"/>
        </w:numPr>
        <w:spacing w:before="60" w:after="60" w:line="320"/>
      </w:pPr>
      <w:r>
        <w:rPr>
          <w:rFonts w:ascii="Arial" w:cs="Arial" w:eastAsia="Arial" w:hAnsi="Arial"/>
          <w:color w:val="222222"/>
          <w:sz w:val="22"/>
          <w:szCs w:val="22"/>
        </w:rPr>
        <w:t xml:space="preserve">Un joueur compulsif ou très engagé est plafonné à 500 Gourdes par semaine (2 × 250)</w:t>
      </w:r>
    </w:p>
    <w:p>
      <w:pPr>
        <w:pStyle w:val="ListParagraph"/>
        <w:numPr>
          <w:ilvl w:val="0"/>
          <w:numId w:val="2"/>
        </w:numPr>
        <w:spacing w:before="60" w:after="60" w:line="320"/>
      </w:pPr>
      <w:r>
        <w:rPr>
          <w:rFonts w:ascii="Arial" w:cs="Arial" w:eastAsia="Arial" w:hAnsi="Arial"/>
          <w:color w:val="222222"/>
          <w:sz w:val="22"/>
          <w:szCs w:val="22"/>
        </w:rPr>
        <w:t xml:space="preserve">Pour un joueur lambda haïtien, c'est un budget raisonnable — mais pour les gros joueurs, c'est frustrant</w:t>
      </w:r>
    </w:p>
    <w:p>
      <w:pPr>
        <w:pStyle w:val="ListParagraph"/>
        <w:numPr>
          <w:ilvl w:val="0"/>
          <w:numId w:val="2"/>
        </w:numPr>
        <w:spacing w:before="60" w:after="60" w:line="320"/>
      </w:pPr>
      <w:r>
        <w:rPr>
          <w:rFonts w:ascii="Arial" w:cs="Arial" w:eastAsia="Arial" w:hAnsi="Arial"/>
          <w:color w:val="222222"/>
          <w:sz w:val="22"/>
          <w:szCs w:val="22"/>
        </w:rPr>
        <w:t xml:space="preserve">Cette frustration peut pousser les meilleurs clients vers d'autres plateformes sans ce plafond</w:t>
      </w:r>
    </w:p>
    <w:p>
      <w:pPr>
        <w:pStyle w:val="ListParagraph"/>
        <w:numPr>
          <w:ilvl w:val="0"/>
          <w:numId w:val="2"/>
        </w:numPr>
        <w:spacing w:before="60" w:after="60" w:line="320"/>
      </w:pPr>
      <w:r>
        <w:rPr>
          <w:rFonts w:ascii="Arial" w:cs="Arial" w:eastAsia="Arial" w:hAnsi="Arial"/>
          <w:color w:val="222222"/>
          <w:sz w:val="22"/>
          <w:szCs w:val="22"/>
        </w:rPr>
        <w:t xml:space="preserve">La croissance du CA dépend entièrement du nombre de joueurs, pas de l'intensité de jeu — ce qui nécessite une acquisition client constante et coûteuse</w:t>
      </w:r>
    </w:p>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Un calcul simple illustre le plafond :</w:t>
      </w:r>
    </w:p>
    <w:p>
      <w:pPr>
        <w:pStyle w:val="ListParagraph"/>
        <w:numPr>
          <w:ilvl w:val="0"/>
          <w:numId w:val="2"/>
        </w:numPr>
        <w:spacing w:before="60" w:after="60" w:line="320"/>
      </w:pPr>
      <w:r>
        <w:rPr>
          <w:rFonts w:ascii="Arial" w:cs="Arial" w:eastAsia="Arial" w:hAnsi="Arial"/>
          <w:color w:val="222222"/>
          <w:sz w:val="22"/>
          <w:szCs w:val="22"/>
        </w:rPr>
        <w:t xml:space="preserve">Pour atteindre 1 000 000 Gourdes de collecte hebdomadaire : il faut 4 000 fiches = 2 000 utilisateurs actifs minimum</w:t>
      </w:r>
    </w:p>
    <w:p>
      <w:pPr>
        <w:pStyle w:val="ListParagraph"/>
        <w:numPr>
          <w:ilvl w:val="0"/>
          <w:numId w:val="2"/>
        </w:numPr>
        <w:spacing w:before="60" w:after="60" w:line="320"/>
      </w:pPr>
      <w:r>
        <w:rPr>
          <w:rFonts w:ascii="Arial" w:cs="Arial" w:eastAsia="Arial" w:hAnsi="Arial"/>
          <w:color w:val="222222"/>
          <w:sz w:val="22"/>
          <w:szCs w:val="22"/>
        </w:rPr>
        <w:t xml:space="preserve">Pour 10 millions : 20 000 utilisateurs actifs chaque semaine — un objectif très ambitieux pour le marché haïtien</w:t>
      </w:r>
    </w:p>
    <w:p>
      <w:pPr>
        <w:spacing w:before="120" w:after="0"/>
      </w:pPr>
    </w:p>
    <w:p>
      <w:pPr>
        <w:pStyle w:val="Heading2"/>
        <w:spacing w:before="280" w:after="140"/>
      </w:pPr>
      <w:r>
        <w:rPr>
          <w:rFonts w:ascii="Arial" w:cs="Arial" w:eastAsia="Arial" w:hAnsi="Arial"/>
          <w:b/>
          <w:bCs/>
          <w:color w:val="C0392B"/>
          <w:sz w:val="28"/>
          <w:szCs w:val="28"/>
        </w:rPr>
        <w:t xml:space="preserve">FAIBLESSE #5 — La Définition d'un "Gagnant" Est Absente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60" w:after="100"/>
            </w:pPr>
            <w:r>
              <w:rPr>
                <w:rFonts w:ascii="Arial" w:cs="Arial" w:eastAsia="Arial" w:hAnsi="Arial"/>
                <w:b/>
                <w:bCs/>
                <w:color w:val="D4700A"/>
                <w:sz w:val="22"/>
                <w:szCs w:val="22"/>
              </w:rPr>
              <w:t xml:space="preserve">❓ LACUNE FONDAMENTALE — Le document ne définit jamais ce qu'est un gagnant</w:t>
            </w:r>
          </w:p>
          <w:p>
            <w:pPr>
              <w:spacing w:before="40" w:after="40" w:line="300"/>
            </w:pPr>
            <w:r>
              <w:rPr>
                <w:rFonts w:ascii="Arial" w:cs="Arial" w:eastAsia="Arial" w:hAnsi="Arial"/>
                <w:color w:val="333333"/>
                <w:sz w:val="20"/>
                <w:szCs w:val="20"/>
              </w:rPr>
              <w:t xml:space="preserve">→  Sur quoi mise-t-on ? Sur un événement sportif ? Sur un numéro tiré au sort ? Sur une prédiction ?</w:t>
            </w:r>
          </w:p>
          <w:p>
            <w:pPr>
              <w:spacing w:before="40" w:after="40" w:line="300"/>
            </w:pPr>
            <w:r>
              <w:rPr>
                <w:rFonts w:ascii="Arial" w:cs="Arial" w:eastAsia="Arial" w:hAnsi="Arial"/>
                <w:color w:val="333333"/>
                <w:sz w:val="20"/>
                <w:szCs w:val="20"/>
              </w:rPr>
              <w:t xml:space="preserve">→  Qui détermine si un parieur a "gagné" ? Un algorithme ? Un résultat externe ?</w:t>
            </w:r>
          </w:p>
          <w:p>
            <w:pPr>
              <w:spacing w:before="40" w:after="40" w:line="300"/>
            </w:pPr>
            <w:r>
              <w:rPr>
                <w:rFonts w:ascii="Arial" w:cs="Arial" w:eastAsia="Arial" w:hAnsi="Arial"/>
                <w:color w:val="333333"/>
                <w:sz w:val="20"/>
                <w:szCs w:val="20"/>
              </w:rPr>
              <w:t xml:space="preserve">→  Quelle est la fréquence des tirages dans la semaine ? Une fois ? Plusieurs fois ?</w:t>
            </w:r>
          </w:p>
          <w:p>
            <w:pPr>
              <w:spacing w:before="40" w:after="40" w:line="300"/>
            </w:pPr>
            <w:r>
              <w:rPr>
                <w:rFonts w:ascii="Arial" w:cs="Arial" w:eastAsia="Arial" w:hAnsi="Arial"/>
                <w:color w:val="333333"/>
                <w:sz w:val="20"/>
                <w:szCs w:val="20"/>
              </w:rPr>
              <w:t xml:space="preserve">→  Peut-on avoir 0 gagnants facilement, ou est-ce rare par construction ?</w:t>
            </w:r>
          </w:p>
        </w:tc>
      </w:tr>
    </w:tbl>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C'est une faille conceptuelle majeure. Toute la mathématique du document (Ksafe, Surplus, Poids) est calculée correctement une fois les gagnants identifiés. Mais le processus de sélection des gagnants — le cœur même du jeu — est complètement absent du Plan Directeur.</w:t>
      </w:r>
    </w:p>
    <w:p>
      <w:pPr>
        <w:spacing w:before="80" w:after="120" w:line="340"/>
      </w:pPr>
      <w:r>
        <w:rPr>
          <w:rFonts w:ascii="Arial" w:cs="Arial" w:eastAsia="Arial" w:hAnsi="Arial"/>
          <w:b w:val="false"/>
          <w:bCs w:val="false"/>
          <w:i w:val="false"/>
          <w:iCs w:val="false"/>
          <w:color w:val="222222"/>
          <w:sz w:val="22"/>
          <w:szCs w:val="22"/>
        </w:rPr>
        <w:t xml:space="preserve">Sans réponse claire à cette question, il est impossible d'évaluer :</w:t>
      </w:r>
    </w:p>
    <w:p>
      <w:pPr>
        <w:pStyle w:val="ListParagraph"/>
        <w:numPr>
          <w:ilvl w:val="0"/>
          <w:numId w:val="2"/>
        </w:numPr>
        <w:spacing w:before="60" w:after="60" w:line="320"/>
      </w:pPr>
      <w:r>
        <w:rPr>
          <w:rFonts w:ascii="Arial" w:cs="Arial" w:eastAsia="Arial" w:hAnsi="Arial"/>
          <w:color w:val="222222"/>
          <w:sz w:val="22"/>
          <w:szCs w:val="22"/>
        </w:rPr>
        <w:t xml:space="preserve">La fréquence des weekends de casse (dépend directement de la probabilité de gagner)</w:t>
      </w:r>
    </w:p>
    <w:p>
      <w:pPr>
        <w:pStyle w:val="ListParagraph"/>
        <w:numPr>
          <w:ilvl w:val="0"/>
          <w:numId w:val="2"/>
        </w:numPr>
        <w:spacing w:before="60" w:after="60" w:line="320"/>
      </w:pPr>
      <w:r>
        <w:rPr>
          <w:rFonts w:ascii="Arial" w:cs="Arial" w:eastAsia="Arial" w:hAnsi="Arial"/>
          <w:color w:val="222222"/>
          <w:sz w:val="22"/>
          <w:szCs w:val="22"/>
        </w:rPr>
        <w:t xml:space="preserve">L'attractivité du jeu pour le joueur (je dois savoir ce que je joue)</w:t>
      </w:r>
    </w:p>
    <w:p>
      <w:pPr>
        <w:pStyle w:val="ListParagraph"/>
        <w:numPr>
          <w:ilvl w:val="0"/>
          <w:numId w:val="2"/>
        </w:numPr>
        <w:spacing w:before="60" w:after="60" w:line="320"/>
      </w:pPr>
      <w:r>
        <w:rPr>
          <w:rFonts w:ascii="Arial" w:cs="Arial" w:eastAsia="Arial" w:hAnsi="Arial"/>
          <w:color w:val="222222"/>
          <w:sz w:val="22"/>
          <w:szCs w:val="22"/>
        </w:rPr>
        <w:t xml:space="preserve">La légalité du jeu (les régulateurs haïtiens classeront-ils cela comme une loterie, un jeu de hasard, ou un pari sportif ?)</w:t>
      </w:r>
    </w:p>
    <w:p>
      <w:pPr>
        <w:spacing w:before="120" w:after="0"/>
      </w:pPr>
    </w:p>
    <w:p>
      <w:pPr>
        <w:pStyle w:val="Heading2"/>
        <w:spacing w:before="280" w:after="140"/>
      </w:pPr>
      <w:r>
        <w:rPr>
          <w:rFonts w:ascii="Arial" w:cs="Arial" w:eastAsia="Arial" w:hAnsi="Arial"/>
          <w:b/>
          <w:bCs/>
          <w:color w:val="C0392B"/>
          <w:sz w:val="28"/>
          <w:szCs w:val="28"/>
        </w:rPr>
        <w:t xml:space="preserve">FAIBLESSE #6 — L'Analyse des Patterns IA : Surestimation Technologique</w:t>
      </w:r>
    </w:p>
    <w:p>
      <w:pPr>
        <w:spacing w:before="80" w:after="120" w:line="340"/>
      </w:pPr>
      <w:r>
        <w:rPr>
          <w:rFonts w:ascii="Arial" w:cs="Arial" w:eastAsia="Arial" w:hAnsi="Arial"/>
          <w:b w:val="false"/>
          <w:bCs w:val="false"/>
          <w:i w:val="false"/>
          <w:iCs w:val="false"/>
          <w:color w:val="222222"/>
          <w:sz w:val="22"/>
          <w:szCs w:val="22"/>
        </w:rPr>
        <w:t xml:space="preserve">Le document annonce une "Analyse de Patterns par IA" pour détecter les fiches miroirs et les comptes corrélés. C'est une excellente intention — mais la réalité technique est bien plus complexe.</w:t>
      </w:r>
    </w:p>
    <w:p>
      <w:pPr>
        <w:spacing w:before="60" w:after="0"/>
      </w:pPr>
    </w:p>
    <w:p>
      <w:pPr>
        <w:pStyle w:val="ListParagraph"/>
        <w:numPr>
          <w:ilvl w:val="0"/>
          <w:numId w:val="2"/>
        </w:numPr>
        <w:spacing w:before="60" w:after="60" w:line="320"/>
      </w:pPr>
      <w:r>
        <w:rPr>
          <w:rFonts w:ascii="Arial" w:cs="Arial" w:eastAsia="Arial" w:hAnsi="Arial"/>
          <w:color w:val="222222"/>
          <w:sz w:val="22"/>
          <w:szCs w:val="22"/>
        </w:rPr>
        <w:t xml:space="preserve">La détection de fraude par IA nécessite des millions de données d'entraînement — inexistantes au lancement</w:t>
      </w:r>
    </w:p>
    <w:p>
      <w:pPr>
        <w:pStyle w:val="ListParagraph"/>
        <w:numPr>
          <w:ilvl w:val="0"/>
          <w:numId w:val="2"/>
        </w:numPr>
        <w:spacing w:before="60" w:after="60" w:line="320"/>
      </w:pPr>
      <w:r>
        <w:rPr>
          <w:rFonts w:ascii="Arial" w:cs="Arial" w:eastAsia="Arial" w:hAnsi="Arial"/>
          <w:color w:val="222222"/>
          <w:sz w:val="22"/>
          <w:szCs w:val="22"/>
        </w:rPr>
        <w:t xml:space="preserve">En semaine 1, l'IA ne connaît aucun pattern de fraude haïtien — elle est aveugle</w:t>
      </w:r>
    </w:p>
    <w:p>
      <w:pPr>
        <w:pStyle w:val="ListParagraph"/>
        <w:numPr>
          <w:ilvl w:val="0"/>
          <w:numId w:val="2"/>
        </w:numPr>
        <w:spacing w:before="60" w:after="60" w:line="320"/>
      </w:pPr>
      <w:r>
        <w:rPr>
          <w:rFonts w:ascii="Arial" w:cs="Arial" w:eastAsia="Arial" w:hAnsi="Arial"/>
          <w:color w:val="222222"/>
          <w:sz w:val="22"/>
          <w:szCs w:val="22"/>
        </w:rPr>
        <w:t xml:space="preserve">Les fraudeurs s'adaptent : des comptes utilisant des réseaux WiFi différents, des appareils distincts et des identités biométriques différentes (prêtées ou volées) contourneront facilement la détection basique</w:t>
      </w:r>
    </w:p>
    <w:p>
      <w:pPr>
        <w:pStyle w:val="ListParagraph"/>
        <w:numPr>
          <w:ilvl w:val="0"/>
          <w:numId w:val="2"/>
        </w:numPr>
        <w:spacing w:before="60" w:after="60" w:line="320"/>
      </w:pPr>
      <w:r>
        <w:rPr>
          <w:rFonts w:ascii="Arial" w:cs="Arial" w:eastAsia="Arial" w:hAnsi="Arial"/>
          <w:color w:val="222222"/>
          <w:sz w:val="22"/>
          <w:szCs w:val="22"/>
        </w:rPr>
        <w:t xml:space="preserve">Le terme "IA" dans le document semble désigner des règles heuristiques simples (deux fiches identiques = rejet), pas du vrai machine learning — un distinguo qui a d'énormes implications en termes de robustesse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60" w:after="100"/>
            </w:pPr>
            <w:r>
              <w:rPr>
                <w:rFonts w:ascii="Arial" w:cs="Arial" w:eastAsia="Arial" w:hAnsi="Arial"/>
                <w:b/>
                <w:bCs/>
                <w:color w:val="C0392B"/>
                <w:sz w:val="22"/>
                <w:szCs w:val="22"/>
              </w:rPr>
              <w:t xml:space="preserve">⚠️ RISQUE SPÉCIFIQUE AU MARCHÉ HAÏTIEN</w:t>
            </w:r>
          </w:p>
          <w:p>
            <w:pPr>
              <w:spacing w:before="40" w:after="40" w:line="300"/>
            </w:pPr>
            <w:r>
              <w:rPr>
                <w:rFonts w:ascii="Arial" w:cs="Arial" w:eastAsia="Arial" w:hAnsi="Arial"/>
                <w:color w:val="333333"/>
                <w:sz w:val="20"/>
                <w:szCs w:val="20"/>
              </w:rPr>
              <w:t xml:space="preserve">→  Les réseaux de fraude organisée en Haïti sont sophistiqués et bien structurés</w:t>
            </w:r>
          </w:p>
          <w:p>
            <w:pPr>
              <w:spacing w:before="40" w:after="40" w:line="300"/>
            </w:pPr>
            <w:r>
              <w:rPr>
                <w:rFonts w:ascii="Arial" w:cs="Arial" w:eastAsia="Arial" w:hAnsi="Arial"/>
                <w:color w:val="333333"/>
                <w:sz w:val="20"/>
                <w:szCs w:val="20"/>
              </w:rPr>
              <w:t xml:space="preserve">→  La biométrie peut être contournée avec des photos haute-résolution ou des vidéos (deepfake basique)</w:t>
            </w:r>
          </w:p>
          <w:p>
            <w:pPr>
              <w:spacing w:before="40" w:after="40" w:line="300"/>
            </w:pPr>
            <w:r>
              <w:rPr>
                <w:rFonts w:ascii="Arial" w:cs="Arial" w:eastAsia="Arial" w:hAnsi="Arial"/>
                <w:color w:val="333333"/>
                <w:sz w:val="20"/>
                <w:szCs w:val="20"/>
              </w:rPr>
              <w:t xml:space="preserve">→  La Liveness Detection évoquée dans le document doit être précisément spécifiée (quelle technologie ?)</w:t>
            </w:r>
          </w:p>
          <w:p>
            <w:pPr>
              <w:spacing w:before="40" w:after="40" w:line="300"/>
            </w:pPr>
            <w:r>
              <w:rPr>
                <w:rFonts w:ascii="Arial" w:cs="Arial" w:eastAsia="Arial" w:hAnsi="Arial"/>
                <w:color w:val="333333"/>
                <w:sz w:val="20"/>
                <w:szCs w:val="20"/>
              </w:rPr>
              <w:t xml:space="preserve">→  Sans audit de sécurité indépendant, ces verrous restent des promesses, pas des garanties</w:t>
            </w:r>
          </w:p>
        </w:tc>
      </w:tr>
    </w:tbl>
    <w:p>
      <w:pPr>
        <w:spacing w:before="120" w:after="0"/>
      </w:pPr>
    </w:p>
    <w:p>
      <w:pPr>
        <w:pStyle w:val="Heading2"/>
        <w:spacing w:before="280" w:after="140"/>
      </w:pPr>
      <w:r>
        <w:rPr>
          <w:rFonts w:ascii="Arial" w:cs="Arial" w:eastAsia="Arial" w:hAnsi="Arial"/>
          <w:b/>
          <w:bCs/>
          <w:color w:val="C0392B"/>
          <w:sz w:val="28"/>
          <w:szCs w:val="28"/>
        </w:rPr>
        <w:t xml:space="preserve">FAIBLESSE #7 — Le Cadre Légal et Réglementaire Est Ignoré</w:t>
      </w:r>
    </w:p>
    <w:p>
      <w:pPr>
        <w:spacing w:before="80" w:after="120" w:line="340"/>
      </w:pPr>
      <w:r>
        <w:rPr>
          <w:rFonts w:ascii="Arial" w:cs="Arial" w:eastAsia="Arial" w:hAnsi="Arial"/>
          <w:b w:val="false"/>
          <w:bCs w:val="false"/>
          <w:i w:val="false"/>
          <w:iCs w:val="false"/>
          <w:color w:val="222222"/>
          <w:sz w:val="22"/>
          <w:szCs w:val="22"/>
        </w:rPr>
        <w:t xml:space="preserve">C'est peut-être la faiblesse la plus silencieuse mais la plus mortelle du document. En Haïti, comme partout, les jeux d'argent sont réglementés. Le Plan Directeur ne mentionne pas une seule fois :</w:t>
      </w:r>
    </w:p>
    <w:p>
      <w:pPr>
        <w:spacing w:before="60" w:after="0"/>
      </w:pPr>
    </w:p>
    <w:p>
      <w:pPr>
        <w:pStyle w:val="ListParagraph"/>
        <w:numPr>
          <w:ilvl w:val="0"/>
          <w:numId w:val="2"/>
        </w:numPr>
        <w:spacing w:before="60" w:after="60" w:line="320"/>
      </w:pPr>
      <w:r>
        <w:rPr>
          <w:rFonts w:ascii="Arial" w:cs="Arial" w:eastAsia="Arial" w:hAnsi="Arial"/>
          <w:color w:val="222222"/>
          <w:sz w:val="22"/>
          <w:szCs w:val="22"/>
        </w:rPr>
        <w:t xml:space="preserve">Le cadre légal haïtien applicable aux jeux de hasard et paris (Décret de 1935 sur les loteries, et ses évolutions)</w:t>
      </w:r>
    </w:p>
    <w:p>
      <w:pPr>
        <w:pStyle w:val="ListParagraph"/>
        <w:numPr>
          <w:ilvl w:val="0"/>
          <w:numId w:val="2"/>
        </w:numPr>
        <w:spacing w:before="60" w:after="60" w:line="320"/>
      </w:pPr>
      <w:r>
        <w:rPr>
          <w:rFonts w:ascii="Arial" w:cs="Arial" w:eastAsia="Arial" w:hAnsi="Arial"/>
          <w:color w:val="222222"/>
          <w:sz w:val="22"/>
          <w:szCs w:val="22"/>
        </w:rPr>
        <w:t xml:space="preserve">La nécessité d'obtenir une licence d'opérateur de jeux avant tout lancement</w:t>
      </w:r>
    </w:p>
    <w:p>
      <w:pPr>
        <w:pStyle w:val="ListParagraph"/>
        <w:numPr>
          <w:ilvl w:val="0"/>
          <w:numId w:val="2"/>
        </w:numPr>
        <w:spacing w:before="60" w:after="60" w:line="320"/>
      </w:pPr>
      <w:r>
        <w:rPr>
          <w:rFonts w:ascii="Arial" w:cs="Arial" w:eastAsia="Arial" w:hAnsi="Arial"/>
          <w:color w:val="222222"/>
          <w:sz w:val="22"/>
          <w:szCs w:val="22"/>
        </w:rPr>
        <w:t xml:space="preserve">Les obligations fiscales sur les gains des joueurs (retenue à la source ?)</w:t>
      </w:r>
    </w:p>
    <w:p>
      <w:pPr>
        <w:pStyle w:val="ListParagraph"/>
        <w:numPr>
          <w:ilvl w:val="0"/>
          <w:numId w:val="2"/>
        </w:numPr>
        <w:spacing w:before="60" w:after="60" w:line="320"/>
      </w:pPr>
      <w:r>
        <w:rPr>
          <w:rFonts w:ascii="Arial" w:cs="Arial" w:eastAsia="Arial" w:hAnsi="Arial"/>
          <w:color w:val="222222"/>
          <w:sz w:val="22"/>
          <w:szCs w:val="22"/>
        </w:rPr>
        <w:t xml:space="preserve">Les obligations de déclaration anti-blanchiment (AML) pour les transactions en mobile money</w:t>
      </w:r>
    </w:p>
    <w:p>
      <w:pPr>
        <w:pStyle w:val="ListParagraph"/>
        <w:numPr>
          <w:ilvl w:val="0"/>
          <w:numId w:val="2"/>
        </w:numPr>
        <w:spacing w:before="60" w:after="60" w:line="320"/>
      </w:pPr>
      <w:r>
        <w:rPr>
          <w:rFonts w:ascii="Arial" w:cs="Arial" w:eastAsia="Arial" w:hAnsi="Arial"/>
          <w:color w:val="222222"/>
          <w:sz w:val="22"/>
          <w:szCs w:val="22"/>
        </w:rPr>
        <w:t xml:space="preserve">La question de la protection des données biométriques (une donnée extrêmement sensible)</w:t>
      </w:r>
    </w:p>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Un lancement sans licence expose l'opérateur à une fermeture administrative immédiate, à des poursuites pénales, et à la confiscation des fonds collectés. Aucun investisseur sérieux ne financera ce projet sans un avis juridique approfondi en amont.</w:t>
      </w:r>
    </w:p>
    <w:p>
      <w:pPr>
        <w:spacing w:before="120" w:after="0"/>
      </w:pPr>
    </w:p>
    <w:p>
      <w:pPr>
        <w:pStyle w:val="Heading2"/>
        <w:spacing w:before="280" w:after="140"/>
      </w:pPr>
      <w:r>
        <w:rPr>
          <w:rFonts w:ascii="Arial" w:cs="Arial" w:eastAsia="Arial" w:hAnsi="Arial"/>
          <w:b/>
          <w:bCs/>
          <w:color w:val="C0392B"/>
          <w:sz w:val="28"/>
          <w:szCs w:val="28"/>
        </w:rPr>
        <w:t xml:space="preserve">FAIBLESSE #8 — L'Exposant 1.25 N'Est Pas Justifié</w:t>
      </w:r>
    </w:p>
    <w:p>
      <w:pPr>
        <w:spacing w:before="80" w:after="120" w:line="340"/>
      </w:pPr>
      <w:r>
        <w:rPr>
          <w:rFonts w:ascii="Arial" w:cs="Arial" w:eastAsia="Arial" w:hAnsi="Arial"/>
          <w:b w:val="false"/>
          <w:bCs w:val="false"/>
          <w:i w:val="false"/>
          <w:iCs w:val="false"/>
          <w:color w:val="222222"/>
          <w:sz w:val="22"/>
          <w:szCs w:val="22"/>
        </w:rPr>
        <w:t xml:space="preserve">Le document présente l'exposant 1.25 dans la formule de pondération (Wi = Ci^1.25) comme s'il était évident. Ce n'est pas le cas. C'est un paramètre arbitraire qui a des conséquences massives sur l'équilibre du jeu.</w:t>
      </w:r>
    </w:p>
    <w:p>
      <w:pPr>
        <w:spacing w:before="60" w:after="0"/>
      </w:pPr>
    </w:p>
    <w:p>
      <w:pPr>
        <w:spacing w:before="80" w:after="120" w:line="340"/>
      </w:pPr>
      <w:r>
        <w:rPr>
          <w:rFonts w:ascii="Arial" w:cs="Arial" w:eastAsia="Arial" w:hAnsi="Arial"/>
          <w:b w:val="false"/>
          <w:bCs w:val="false"/>
          <w:i w:val="false"/>
          <w:iCs w:val="false"/>
          <w:color w:val="222222"/>
          <w:sz w:val="22"/>
          <w:szCs w:val="22"/>
        </w:rPr>
        <w:t xml:space="preserve">Voici ce que l'exposant 1.25 implique réellement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Cote jouée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Poids (C^1.25)</w:t>
            </w:r>
          </w:p>
        </w:tc>
        <w:tc>
          <w:tcPr>
            <w:tcW w:type="dxa" w:w="2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Poids si exposant = 1</w:t>
            </w:r>
          </w:p>
        </w:tc>
        <w:tc>
          <w:tcPr>
            <w:tcW w:type="dxa" w:w="2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Avantage de l'exposant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50^1.25 = 147.9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×2.96</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200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200^1.25 = 946.6</w:t>
            </w:r>
          </w:p>
        </w:tc>
        <w:tc>
          <w:tcPr>
            <w:tcW w:type="dxa" w:w="2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200</w:t>
            </w:r>
          </w:p>
        </w:tc>
        <w:tc>
          <w:tcPr>
            <w:tcW w:type="dxa" w:w="2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×4.73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400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400^1.25 = 2297.4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400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20"/>
                <w:szCs w:val="20"/>
              </w:rPr>
              <w:t xml:space="preserve">×5.74</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500</w:t>
            </w:r>
          </w:p>
        </w:tc>
        <w:tc>
          <w:tcPr>
            <w:tcW w:type="dxa" w:w="2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500^1.25 = 2973.5</w:t>
            </w:r>
          </w:p>
        </w:tc>
        <w:tc>
          <w:tcPr>
            <w:tcW w:type="dxa" w:w="25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500</w:t>
            </w:r>
          </w:p>
        </w:tc>
        <w:tc>
          <w:tcPr>
            <w:tcW w:type="dxa" w:w="2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20"/>
                <w:szCs w:val="20"/>
              </w:rPr>
              <w:t xml:space="preserve">×5.95</w:t>
            </w:r>
          </w:p>
        </w:tc>
      </w:tr>
    </w:tbl>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Le problème : avec un exposant de 1.25, un seul gagnant à cote 500 peut capturer la quasi-totalité du Surplus si les autres gagnants ont des cotes basses. Cela peut créer des jalousies et un sentiment d'injustice. L'exposant optimal dépend du profil des joueurs haïtiens — une donnée qui n'existe pas encore et qui nécessite des tests A/B extensifs.</w:t>
      </w:r>
    </w:p>
    <w:p>
      <w:pPr>
        <w:spacing w:before="120" w:after="0"/>
      </w:pPr>
    </w:p>
    <w:p>
      <w:pPr>
        <w:pStyle w:val="Heading2"/>
        <w:spacing w:before="280" w:after="140"/>
      </w:pPr>
      <w:r>
        <w:rPr>
          <w:rFonts w:ascii="Arial" w:cs="Arial" w:eastAsia="Arial" w:hAnsi="Arial"/>
          <w:b/>
          <w:bCs/>
          <w:color w:val="C0392B"/>
          <w:sz w:val="28"/>
          <w:szCs w:val="28"/>
        </w:rPr>
        <w:t xml:space="preserve">FAIBLESSE #9 — L'Infrastructure Technique Est Sous-Estimée</w:t>
      </w:r>
    </w:p>
    <w:p>
      <w:pPr>
        <w:spacing w:before="80" w:after="120" w:line="340"/>
      </w:pPr>
      <w:r>
        <w:rPr>
          <w:rFonts w:ascii="Arial" w:cs="Arial" w:eastAsia="Arial" w:hAnsi="Arial"/>
          <w:b w:val="false"/>
          <w:bCs w:val="false"/>
          <w:i w:val="false"/>
          <w:iCs w:val="false"/>
          <w:color w:val="222222"/>
          <w:sz w:val="22"/>
          <w:szCs w:val="22"/>
        </w:rPr>
        <w:t xml:space="preserve">Le Plan Directeur se concentre sur les règles du jeu et l'algorithme financier, mais effleure à peine l'infrastructure technique nécessaire. C'est une erreur classique dans les plans d'affaires de startups tech.</w:t>
      </w:r>
    </w:p>
    <w:p>
      <w:pPr>
        <w:spacing w:before="60" w:after="0"/>
      </w:pPr>
    </w:p>
    <w:p>
      <w:pPr>
        <w:spacing w:before="80" w:after="120" w:line="340"/>
      </w:pPr>
      <w:r>
        <w:rPr>
          <w:rFonts w:ascii="Arial" w:cs="Arial" w:eastAsia="Arial" w:hAnsi="Arial"/>
          <w:b w:val="false"/>
          <w:bCs w:val="false"/>
          <w:i w:val="false"/>
          <w:iCs w:val="false"/>
          <w:color w:val="222222"/>
          <w:sz w:val="22"/>
          <w:szCs w:val="22"/>
        </w:rPr>
        <w:t xml:space="preserve">Ce qui n'est pas dans le document mais qui représente des mois de développement et des coûts importants :</w:t>
      </w:r>
    </w:p>
    <w:p>
      <w:pPr>
        <w:pStyle w:val="ListParagraph"/>
        <w:numPr>
          <w:ilvl w:val="0"/>
          <w:numId w:val="2"/>
        </w:numPr>
        <w:spacing w:before="60" w:after="60" w:line="320"/>
      </w:pPr>
      <w:r>
        <w:rPr>
          <w:rFonts w:ascii="Arial" w:cs="Arial" w:eastAsia="Arial" w:hAnsi="Arial"/>
          <w:color w:val="222222"/>
          <w:sz w:val="22"/>
          <w:szCs w:val="22"/>
        </w:rPr>
        <w:t xml:space="preserve">Intégration API MonCash et Natcash : chaque réseau a ses propres procédures d'agrément et ses propres APIs souvent peu documentées</w:t>
      </w:r>
    </w:p>
    <w:p>
      <w:pPr>
        <w:pStyle w:val="ListParagraph"/>
        <w:numPr>
          <w:ilvl w:val="0"/>
          <w:numId w:val="2"/>
        </w:numPr>
        <w:spacing w:before="60" w:after="60" w:line="320"/>
      </w:pPr>
      <w:r>
        <w:rPr>
          <w:rFonts w:ascii="Arial" w:cs="Arial" w:eastAsia="Arial" w:hAnsi="Arial"/>
          <w:color w:val="222222"/>
          <w:sz w:val="22"/>
          <w:szCs w:val="22"/>
        </w:rPr>
        <w:t xml:space="preserve">Système de Liveness Detection : les solutions robustes (iProov, Onfido, FaceTec) coûtent entre 1$ et 3$ par vérification — à multiplier par chaque nouveau compte</w:t>
      </w:r>
    </w:p>
    <w:p>
      <w:pPr>
        <w:pStyle w:val="ListParagraph"/>
        <w:numPr>
          <w:ilvl w:val="0"/>
          <w:numId w:val="2"/>
        </w:numPr>
        <w:spacing w:before="60" w:after="60" w:line="320"/>
      </w:pPr>
      <w:r>
        <w:rPr>
          <w:rFonts w:ascii="Arial" w:cs="Arial" w:eastAsia="Arial" w:hAnsi="Arial"/>
          <w:color w:val="222222"/>
          <w:sz w:val="22"/>
          <w:szCs w:val="22"/>
        </w:rPr>
        <w:t xml:space="preserve">Dashboard temps réel : nécessite une infrastructure WebSocket pour les mises à jour en direct, avec une gestion de la scalabilité pour les pics de connexion le weekend</w:t>
      </w:r>
    </w:p>
    <w:p>
      <w:pPr>
        <w:pStyle w:val="ListParagraph"/>
        <w:numPr>
          <w:ilvl w:val="0"/>
          <w:numId w:val="2"/>
        </w:numPr>
        <w:spacing w:before="60" w:after="60" w:line="320"/>
      </w:pPr>
      <w:r>
        <w:rPr>
          <w:rFonts w:ascii="Arial" w:cs="Arial" w:eastAsia="Arial" w:hAnsi="Arial"/>
          <w:color w:val="222222"/>
          <w:sz w:val="22"/>
          <w:szCs w:val="22"/>
        </w:rPr>
        <w:t xml:space="preserve">Système de calcul Ksafe en temps réel : doit s'exécuter instantanément quand les résultats tombent, avec zéro tolérance aux erreurs de calcul</w:t>
      </w:r>
    </w:p>
    <w:p>
      <w:pPr>
        <w:pStyle w:val="ListParagraph"/>
        <w:numPr>
          <w:ilvl w:val="0"/>
          <w:numId w:val="2"/>
        </w:numPr>
        <w:spacing w:before="60" w:after="60" w:line="320"/>
      </w:pPr>
      <w:r>
        <w:rPr>
          <w:rFonts w:ascii="Arial" w:cs="Arial" w:eastAsia="Arial" w:hAnsi="Arial"/>
          <w:color w:val="222222"/>
          <w:sz w:val="22"/>
          <w:szCs w:val="22"/>
        </w:rPr>
        <w:t xml:space="preserve">Backup et récupération : que se passe-t-il si le serveur tombe en plein calcul de distribution ?</w:t>
      </w:r>
    </w:p>
    <w:p>
      <w:pPr>
        <w:spacing w:before="120" w:after="0"/>
      </w:pPr>
    </w:p>
    <w:p>
      <w:pPr>
        <w:pStyle w:val="Heading2"/>
        <w:spacing w:before="280" w:after="140"/>
      </w:pPr>
      <w:r>
        <w:rPr>
          <w:rFonts w:ascii="Arial" w:cs="Arial" w:eastAsia="Arial" w:hAnsi="Arial"/>
          <w:b/>
          <w:bCs/>
          <w:color w:val="C0392B"/>
          <w:sz w:val="28"/>
          <w:szCs w:val="28"/>
        </w:rPr>
        <w:t xml:space="preserve">FAIBLESSE #10 — L'Absence de Modèle de Simulation Financière</w:t>
      </w:r>
    </w:p>
    <w:p>
      <w:pPr>
        <w:spacing w:before="80" w:after="120" w:line="340"/>
      </w:pPr>
      <w:r>
        <w:rPr>
          <w:rFonts w:ascii="Arial" w:cs="Arial" w:eastAsia="Arial" w:hAnsi="Arial"/>
          <w:b w:val="false"/>
          <w:bCs w:val="false"/>
          <w:i w:val="false"/>
          <w:iCs w:val="false"/>
          <w:color w:val="222222"/>
          <w:sz w:val="22"/>
          <w:szCs w:val="22"/>
        </w:rPr>
        <w:t xml:space="preserve">Le document présente des formules mathématiques sans jamais les tester sur des scénarios réels. Un Plan Directeur sérieux devrait inclure au minimum :</w:t>
      </w:r>
    </w:p>
    <w:p>
      <w:pPr>
        <w:spacing w:before="60" w:after="0"/>
      </w:pPr>
    </w:p>
    <w:p>
      <w:pPr>
        <w:pStyle w:val="ListParagraph"/>
        <w:numPr>
          <w:ilvl w:val="0"/>
          <w:numId w:val="2"/>
        </w:numPr>
        <w:spacing w:before="60" w:after="60" w:line="320"/>
      </w:pPr>
      <w:r>
        <w:rPr>
          <w:rFonts w:ascii="Arial" w:cs="Arial" w:eastAsia="Arial" w:hAnsi="Arial"/>
          <w:color w:val="222222"/>
          <w:sz w:val="22"/>
          <w:szCs w:val="22"/>
        </w:rPr>
        <w:t xml:space="preserve">Simulation Monte Carlo sur 52 semaines avec différents profils de joueurs</w:t>
      </w:r>
    </w:p>
    <w:p>
      <w:pPr>
        <w:pStyle w:val="ListParagraph"/>
        <w:numPr>
          <w:ilvl w:val="0"/>
          <w:numId w:val="2"/>
        </w:numPr>
        <w:spacing w:before="60" w:after="60" w:line="320"/>
      </w:pPr>
      <w:r>
        <w:rPr>
          <w:rFonts w:ascii="Arial" w:cs="Arial" w:eastAsia="Arial" w:hAnsi="Arial"/>
          <w:color w:val="222222"/>
          <w:sz w:val="22"/>
          <w:szCs w:val="22"/>
        </w:rPr>
        <w:t xml:space="preserve">Scénario pessimiste : que se passe-t-il si les 5 premières semaines sont des casses en Zone Rouge ?</w:t>
      </w:r>
    </w:p>
    <w:p>
      <w:pPr>
        <w:pStyle w:val="ListParagraph"/>
        <w:numPr>
          <w:ilvl w:val="0"/>
          <w:numId w:val="2"/>
        </w:numPr>
        <w:spacing w:before="60" w:after="60" w:line="320"/>
      </w:pPr>
      <w:r>
        <w:rPr>
          <w:rFonts w:ascii="Arial" w:cs="Arial" w:eastAsia="Arial" w:hAnsi="Arial"/>
          <w:color w:val="222222"/>
          <w:sz w:val="22"/>
          <w:szCs w:val="22"/>
        </w:rPr>
        <w:t xml:space="preserve">Seuil de rentabilité : combien de joueurs actifs par semaine pour que les 10% de frais couvrent les coûts opérationnels ?</w:t>
      </w:r>
    </w:p>
    <w:p>
      <w:pPr>
        <w:pStyle w:val="ListParagraph"/>
        <w:numPr>
          <w:ilvl w:val="0"/>
          <w:numId w:val="2"/>
        </w:numPr>
        <w:spacing w:before="60" w:after="60" w:line="320"/>
      </w:pPr>
      <w:r>
        <w:rPr>
          <w:rFonts w:ascii="Arial" w:cs="Arial" w:eastAsia="Arial" w:hAnsi="Arial"/>
          <w:color w:val="222222"/>
          <w:sz w:val="22"/>
          <w:szCs w:val="22"/>
        </w:rPr>
        <w:t xml:space="preserve">Temps d'accumulation de la réserve : combien de semaines pour que le fonds de 5% soit suffisamment solide ?</w:t>
      </w:r>
    </w:p>
    <w:p>
      <w:pPr>
        <w:pStyle w:val="ListParagraph"/>
        <w:numPr>
          <w:ilvl w:val="0"/>
          <w:numId w:val="2"/>
        </w:numPr>
        <w:spacing w:before="60" w:after="60" w:line="320"/>
      </w:pPr>
      <w:r>
        <w:rPr>
          <w:rFonts w:ascii="Arial" w:cs="Arial" w:eastAsia="Arial" w:hAnsi="Arial"/>
          <w:color w:val="222222"/>
          <w:sz w:val="22"/>
          <w:szCs w:val="22"/>
        </w:rPr>
        <w:t xml:space="preserve">Impact du rollover sur la volatilité : un jackpot de 10x la mise normale attire-t-il des profils de joueurs différents et plus risqués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20"/>
              <w:left w:type="dxa" w:w="200"/>
              <w:bottom w:type="dxa" w:w="120"/>
              <w:right w:type="dxa" w:w="200"/>
            </w:tcMar>
          </w:tcPr>
          <w:p>
            <w:pPr>
              <w:spacing w:before="60" w:after="100"/>
            </w:pPr>
            <w:r>
              <w:rPr>
                <w:rFonts w:ascii="Arial" w:cs="Arial" w:eastAsia="Arial" w:hAnsi="Arial"/>
                <w:b/>
                <w:bCs/>
                <w:color w:val="C0392B"/>
                <w:sz w:val="22"/>
                <w:szCs w:val="22"/>
              </w:rPr>
              <w:t xml:space="preserve">❌ SANS SIMULATION : PAS DE FINANCEMENT POSSIBLE</w:t>
            </w:r>
          </w:p>
          <w:p>
            <w:pPr>
              <w:spacing w:before="40" w:after="40" w:line="300"/>
            </w:pPr>
            <w:r>
              <w:rPr>
                <w:rFonts w:ascii="Arial" w:cs="Arial" w:eastAsia="Arial" w:hAnsi="Arial"/>
                <w:color w:val="333333"/>
                <w:sz w:val="20"/>
                <w:szCs w:val="20"/>
              </w:rPr>
              <w:t xml:space="preserve">→  Aucun investisseur haïtien ou international ne financera ce projet sans un modèle financier sur 12 à 24 mois</w:t>
            </w:r>
          </w:p>
          <w:p>
            <w:pPr>
              <w:spacing w:before="40" w:after="40" w:line="300"/>
            </w:pPr>
            <w:r>
              <w:rPr>
                <w:rFonts w:ascii="Arial" w:cs="Arial" w:eastAsia="Arial" w:hAnsi="Arial"/>
                <w:color w:val="333333"/>
                <w:sz w:val="20"/>
                <w:szCs w:val="20"/>
              </w:rPr>
              <w:t xml:space="preserve">→  Le fondateur lui-même ne peut pas savoir combien de capital de démarrage est réellement nécessaire</w:t>
            </w:r>
          </w:p>
          <w:p>
            <w:pPr>
              <w:spacing w:before="40" w:after="40" w:line="300"/>
            </w:pPr>
            <w:r>
              <w:rPr>
                <w:rFonts w:ascii="Arial" w:cs="Arial" w:eastAsia="Arial" w:hAnsi="Arial"/>
                <w:color w:val="333333"/>
                <w:sz w:val="20"/>
                <w:szCs w:val="20"/>
              </w:rPr>
              <w:t xml:space="preserve">→  La décision de fixer la mise à 250 Gds n'est pas justifiée par une analyse de marché</w:t>
            </w:r>
          </w:p>
        </w:tc>
      </w:tr>
    </w:tbl>
    <w:p>
      <w:pPr>
        <w:spacing w:before="120" w:after="0"/>
      </w:pPr>
    </w:p>
    <w:p>
      <w:pPr>
        <w:pStyle w:val="Heading2"/>
        <w:spacing w:before="280" w:after="140"/>
      </w:pPr>
      <w:r>
        <w:rPr>
          <w:rFonts w:ascii="Arial" w:cs="Arial" w:eastAsia="Arial" w:hAnsi="Arial"/>
          <w:b/>
          <w:bCs/>
          <w:color w:val="C0392B"/>
          <w:sz w:val="28"/>
          <w:szCs w:val="28"/>
        </w:rPr>
        <w:t xml:space="preserve">FAIBLESSE #11 — La Stratégie d'Acquisition Utilisateurs Est Absente</w:t>
      </w:r>
    </w:p>
    <w:p>
      <w:pPr>
        <w:spacing w:before="80" w:after="120" w:line="340"/>
      </w:pPr>
      <w:r>
        <w:rPr>
          <w:rFonts w:ascii="Arial" w:cs="Arial" w:eastAsia="Arial" w:hAnsi="Arial"/>
          <w:b w:val="false"/>
          <w:bCs w:val="false"/>
          <w:i w:val="false"/>
          <w:iCs w:val="false"/>
          <w:color w:val="222222"/>
          <w:sz w:val="22"/>
          <w:szCs w:val="22"/>
        </w:rPr>
        <w:t xml:space="preserve">Un jeu brillant avec zéro joueur ne rapporte rien. Le Plan Directeur consacre beaucoup d'attention à l'algorithme de distribution mais aucune à la question : comment attirer et retenir les premiers 500 joueurs ?</w:t>
      </w:r>
    </w:p>
    <w:p>
      <w:pPr>
        <w:spacing w:before="60" w:after="0"/>
      </w:pPr>
    </w:p>
    <w:p>
      <w:pPr>
        <w:pStyle w:val="ListParagraph"/>
        <w:numPr>
          <w:ilvl w:val="0"/>
          <w:numId w:val="2"/>
        </w:numPr>
        <w:spacing w:before="60" w:after="60" w:line="320"/>
      </w:pPr>
      <w:r>
        <w:rPr>
          <w:rFonts w:ascii="Arial" w:cs="Arial" w:eastAsia="Arial" w:hAnsi="Arial"/>
          <w:color w:val="222222"/>
          <w:sz w:val="22"/>
          <w:szCs w:val="22"/>
        </w:rPr>
        <w:t xml:space="preserve">Il n'y a aucune analyse du marché cible : qui est le joueur typique ? Quel âge ? Quel revenu ? Quelle expérience avec les paris ?</w:t>
      </w:r>
    </w:p>
    <w:p>
      <w:pPr>
        <w:pStyle w:val="ListParagraph"/>
        <w:numPr>
          <w:ilvl w:val="0"/>
          <w:numId w:val="2"/>
        </w:numPr>
        <w:spacing w:before="60" w:after="60" w:line="320"/>
      </w:pPr>
      <w:r>
        <w:rPr>
          <w:rFonts w:ascii="Arial" w:cs="Arial" w:eastAsia="Arial" w:hAnsi="Arial"/>
          <w:color w:val="222222"/>
          <w:sz w:val="22"/>
          <w:szCs w:val="22"/>
        </w:rPr>
        <w:t xml:space="preserve">Aucune stratégie marketing définie : réseaux sociaux ? Agents de terrain ? Partenariats avec des digicel/Natcom ?</w:t>
      </w:r>
    </w:p>
    <w:p>
      <w:pPr>
        <w:pStyle w:val="ListParagraph"/>
        <w:numPr>
          <w:ilvl w:val="0"/>
          <w:numId w:val="2"/>
        </w:numPr>
        <w:spacing w:before="60" w:after="60" w:line="320"/>
      </w:pPr>
      <w:r>
        <w:rPr>
          <w:rFonts w:ascii="Arial" w:cs="Arial" w:eastAsia="Arial" w:hAnsi="Arial"/>
          <w:color w:val="222222"/>
          <w:sz w:val="22"/>
          <w:szCs w:val="22"/>
        </w:rPr>
        <w:t xml:space="preserve">Le problème du "démarrage à froid" : avec peu de joueurs, le Pactole est petit et peu attractif, ce qui freine l'acquisition, ce qui maintient le Pactole petit — une spirale négative</w:t>
      </w:r>
    </w:p>
    <w:p>
      <w:pPr>
        <w:pStyle w:val="ListParagraph"/>
        <w:numPr>
          <w:ilvl w:val="0"/>
          <w:numId w:val="2"/>
        </w:numPr>
        <w:spacing w:before="60" w:after="60" w:line="320"/>
      </w:pPr>
      <w:r>
        <w:rPr>
          <w:rFonts w:ascii="Arial" w:cs="Arial" w:eastAsia="Arial" w:hAnsi="Arial"/>
          <w:color w:val="222222"/>
          <w:sz w:val="22"/>
          <w:szCs w:val="22"/>
        </w:rPr>
        <w:t xml:space="preserve">Aucune réflexion sur la rétention : un joueur qui perd deux fois de suite sans comprendre pourquoi ne reviendra pas</w:t>
      </w:r>
    </w:p>
    <w:p>
      <w:pPr>
        <w:pStyle w:val="ListParagraph"/>
        <w:numPr>
          <w:ilvl w:val="0"/>
          <w:numId w:val="2"/>
        </w:numPr>
        <w:spacing w:before="60" w:after="60" w:line="320"/>
      </w:pPr>
      <w:r>
        <w:rPr>
          <w:rFonts w:ascii="Arial" w:cs="Arial" w:eastAsia="Arial" w:hAnsi="Arial"/>
          <w:color w:val="222222"/>
          <w:sz w:val="22"/>
          <w:szCs w:val="22"/>
        </w:rPr>
        <w:t xml:space="preserve">La communication autour du Ksafe (faiblesse #2) nécessite une équipe support capable de répondre aux plaintes en créole haïtien 7j/7</w:t>
      </w:r>
    </w:p>
    <w:p>
      <w:pPr>
        <w:spacing w:before="120" w:after="0"/>
      </w:pPr>
    </w:p>
    <w:p>
      <w:pPr>
        <w:pBdr>
          <w:bottom w:val="single" w:color="CCCCCC" w:sz="4" w:space="1"/>
        </w:pBdr>
        <w:spacing w:before="160" w:after="160"/>
      </w:pPr>
    </w:p>
    <w:p>
      <w:pPr>
        <w:spacing w:before="100" w:after="0"/>
      </w:pPr>
    </w:p>
    <w:p>
      <w:r>
        <w:br w:type="page"/>
      </w:r>
    </w:p>
    <w:p>
      <w:pPr>
        <w:pStyle w:val="Heading1"/>
        <w:pBdr>
          <w:bottom w:val="single" w:color="1F3864" w:sz="8" w:space="4"/>
        </w:pBdr>
        <w:spacing w:before="360" w:after="200"/>
      </w:pPr>
      <w:r>
        <w:rPr>
          <w:rFonts w:ascii="Arial" w:cs="Arial" w:eastAsia="Arial" w:hAnsi="Arial"/>
          <w:b/>
          <w:bCs/>
          <w:color w:val="1F3864"/>
          <w:sz w:val="36"/>
          <w:szCs w:val="36"/>
        </w:rPr>
        <w:t xml:space="preserve">IV. TABLEAU DE SYNTHÈSE DES RISQUES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0"/>
                <w:szCs w:val="20"/>
              </w:rPr>
              <w:t xml:space="preserve">FAIBLESSE IDENTIFIÉE</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CRITICITÉ</w:t>
            </w:r>
          </w:p>
        </w:tc>
        <w:tc>
          <w:tcPr>
            <w:tcW w:type="dxa" w:w="3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19"/>
                <w:szCs w:val="19"/>
              </w:rPr>
              <w:t xml:space="preserve">ACTION REQUISE AVANT LANCEMENT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#1 — Surplus négatif : formule impossible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CRITIQUE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Revoir la formule pour les cas extrêmes, plafonner les cotes en cas de petit Pactole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0"/>
                <w:szCs w:val="20"/>
              </w:rPr>
              <w:t xml:space="preserve">#5 — Définition du gagnant absente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CRITIQUE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19"/>
                <w:szCs w:val="19"/>
              </w:rPr>
              <w:t xml:space="preserve">Définir entièrement la mécanique du jeu de base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#7 — Cadre légal ignoré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CRITIQUE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Obtenir un avis juridique et une licence avant tout développement</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0"/>
                <w:szCs w:val="20"/>
              </w:rPr>
              <w:t xml:space="preserve">#2 — Pédagogie du lissage insuffisante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ÉLEVÉ</w:t>
            </w:r>
          </w:p>
        </w:tc>
        <w:tc>
          <w:tcPr>
            <w:tcW w:type="dxa" w:w="3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19"/>
                <w:szCs w:val="19"/>
              </w:rPr>
              <w:t xml:space="preserve">Concevoir une communication de crise et un système d'alertes en temps réel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#3 — Fragilité financière au lancement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ÉLEVÉ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Calculer le capital minimum de démarrage et constituer une réserve initiale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0"/>
                <w:szCs w:val="20"/>
              </w:rPr>
              <w:t xml:space="preserve">#10 — Aucune simulation financière</w:t>
            </w:r>
          </w:p>
        </w:tc>
        <w:tc>
          <w:tcPr>
            <w:tcW w:type="dxa" w:w="1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ÉLEVÉ</w:t>
            </w:r>
          </w:p>
        </w:tc>
        <w:tc>
          <w:tcPr>
            <w:tcW w:type="dxa" w:w="3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19"/>
                <w:szCs w:val="19"/>
              </w:rPr>
              <w:t xml:space="preserve">Produire un modèle Monte Carlo sur 52 semaines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#6 — Surestimation de l'IA anti-fraude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ÉLEVÉ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Spécifier précisément les technologies et conduire un audit de sécurité</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0"/>
                <w:szCs w:val="20"/>
              </w:rPr>
              <w:t xml:space="preserve">#9 — Infrastructure technique sous-estimée</w:t>
            </w:r>
          </w:p>
        </w:tc>
        <w:tc>
          <w:tcPr>
            <w:tcW w:type="dxa" w:w="1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MODÉRÉ</w:t>
            </w:r>
          </w:p>
        </w:tc>
        <w:tc>
          <w:tcPr>
            <w:tcW w:type="dxa" w:w="3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19"/>
                <w:szCs w:val="19"/>
              </w:rPr>
              <w:t xml:space="preserve">Chiffrer le développement tech et identifier les partenaires (MonCash, Liveness)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#8 — Exposant 1.25 non justifié</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MODÉRÉ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Simuler différents exposants et tester avec un groupe pilote</w:t>
            </w:r>
          </w:p>
        </w:tc>
      </w:tr>
      <w:tr>
        <w:tc>
          <w:tcPr>
            <w:tcW w:type="dxa" w:w="4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222222"/>
                <w:sz w:val="20"/>
                <w:szCs w:val="20"/>
              </w:rPr>
              <w:t xml:space="preserve">#11 — Stratégie d'acquisition absente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MODÉRÉ</w:t>
            </w:r>
          </w:p>
        </w:tc>
        <w:tc>
          <w:tcPr>
            <w:tcW w:type="dxa" w:w="3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val="false"/>
                <w:bCs w:val="false"/>
                <w:color w:val="333333"/>
                <w:sz w:val="19"/>
                <w:szCs w:val="19"/>
              </w:rPr>
              <w:t xml:space="preserve">Définir le profil joueur et un plan marketing avec budget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222222"/>
                <w:sz w:val="20"/>
                <w:szCs w:val="20"/>
              </w:rPr>
              <w:t xml:space="preserve">#4 — Plafond de croissance (2 fiches)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20"/>
                <w:szCs w:val="20"/>
              </w:rPr>
              <w:t xml:space="preserve">🟡 MODÉRÉ</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val="false"/>
                <w:bCs w:val="false"/>
                <w:color w:val="333333"/>
                <w:sz w:val="19"/>
                <w:szCs w:val="19"/>
              </w:rPr>
              <w:t xml:space="preserve">Analyser l'impact sur le CA projeté et envisager des mécaniques alternatives</w:t>
            </w:r>
          </w:p>
        </w:tc>
      </w:tr>
    </w:tbl>
    <w:p>
      <w:pPr>
        <w:spacing w:before="200" w:after="0"/>
      </w:pPr>
    </w:p>
    <w:p>
      <w:r>
        <w:br w:type="page"/>
      </w:r>
    </w:p>
    <w:p>
      <w:pPr>
        <w:pStyle w:val="Heading1"/>
        <w:pBdr>
          <w:bottom w:val="single" w:color="1F3864" w:sz="8" w:space="4"/>
        </w:pBdr>
        <w:spacing w:before="360" w:after="200"/>
      </w:pPr>
      <w:r>
        <w:rPr>
          <w:rFonts w:ascii="Arial" w:cs="Arial" w:eastAsia="Arial" w:hAnsi="Arial"/>
          <w:b/>
          <w:bCs/>
          <w:color w:val="1F3864"/>
          <w:sz w:val="36"/>
          <w:szCs w:val="36"/>
        </w:rPr>
        <w:t xml:space="preserve">V. ÉVALUATION GLOBALE</w:t>
      </w:r>
    </w:p>
    <w:p>
      <w:pPr>
        <w:spacing w:before="80" w:after="0"/>
      </w:pPr>
    </w:p>
    <w:p>
      <w:pPr>
        <w:pStyle w:val="Heading2"/>
        <w:spacing w:before="280" w:after="140"/>
      </w:pPr>
      <w:r>
        <w:rPr>
          <w:rFonts w:ascii="Arial" w:cs="Arial" w:eastAsia="Arial" w:hAnsi="Arial"/>
          <w:b/>
          <w:bCs/>
          <w:color w:val="1F3864"/>
          <w:sz w:val="28"/>
          <w:szCs w:val="28"/>
        </w:rPr>
        <w:t xml:space="preserve">5.1 — Scorecard du Projet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2"/>
                <w:szCs w:val="22"/>
              </w:rPr>
              <w:t xml:space="preserve">DIMENSION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80"/>
            </w:tcMar>
          </w:tcPr>
          <w:p>
            <w:r>
              <w:rPr>
                <w:rFonts w:ascii="Arial" w:cs="Arial" w:eastAsia="Arial" w:hAnsi="Arial"/>
                <w:b/>
                <w:bCs/>
                <w:color w:val="FFFFFF"/>
                <w:sz w:val="22"/>
                <w:szCs w:val="22"/>
              </w:rPr>
              <w:t xml:space="preserve">SCORE</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Originalité du concept</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1E6B2E"/>
                <w:sz w:val="24"/>
                <w:szCs w:val="24"/>
              </w:rPr>
              <w:t xml:space="preserve">●●●●●</w:t>
            </w:r>
            <w:r>
              <w:rPr>
                <w:rFonts w:ascii="Arial" w:cs="Arial" w:eastAsia="Arial" w:hAnsi="Arial"/>
                <w:color w:val="AAAAAA"/>
                <w:sz w:val="24"/>
                <w:szCs w:val="24"/>
              </w:rPr>
              <w:t xml:space="preserve"/>
            </w:r>
            <w:r>
              <w:rPr>
                <w:rFonts w:ascii="Arial" w:cs="Arial" w:eastAsia="Arial" w:hAnsi="Arial"/>
                <w:color w:val="555555"/>
                <w:sz w:val="20"/>
                <w:szCs w:val="20"/>
              </w:rPr>
              <w:t xml:space="preserve">  5/5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Solidité de la formule mathématique</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D4700A"/>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3/5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Gestion du risque financier</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D4700A"/>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3/5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Faisabilité technique</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C0392B"/>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2/5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Clarté des règles pour le joueur</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C0392B"/>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2/5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Conformité légale</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C0392B"/>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1/5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Viabilité commerciale au lancement</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C0392B"/>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2/5</w:t>
            </w:r>
          </w:p>
        </w:tc>
      </w:tr>
      <w:tr>
        <w:tc>
          <w:tcPr>
            <w:tcW w:type="dxa" w:w="5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80"/>
            </w:tcMar>
          </w:tcPr>
          <w:p>
            <w:r>
              <w:rPr>
                <w:rFonts w:ascii="Arial" w:cs="Arial" w:eastAsia="Arial" w:hAnsi="Arial"/>
                <w:b/>
                <w:bCs/>
                <w:sz w:val="22"/>
                <w:szCs w:val="22"/>
              </w:rPr>
              <w:t xml:space="preserve">Maturité globale du Plan Directeur</w:t>
            </w:r>
          </w:p>
        </w:tc>
        <w:tc>
          <w:tcPr>
            <w:tcW w:type="dxa" w:w="4360"/>
            <w:tcBorders>
              <w:top w:val="single" w:color="CCCCCC" w:sz="1"/>
              <w:left w:val="single" w:color="CCCCCC" w:sz="1"/>
              <w:bottom w:val="single" w:color="CCCCCC" w:sz="1"/>
              <w:right w:val="single" w:color="CCCCCC" w:sz="1"/>
            </w:tcBorders>
            <w:tcMar>
              <w:top w:type="dxa" w:w="80"/>
              <w:left w:type="dxa" w:w="160"/>
              <w:bottom w:type="dxa" w:w="80"/>
              <w:right w:type="dxa" w:w="80"/>
            </w:tcMar>
          </w:tcPr>
          <w:p>
            <w:r>
              <w:rPr>
                <w:rFonts w:ascii="Arial" w:cs="Arial" w:eastAsia="Arial" w:hAnsi="Arial"/>
                <w:color w:val="C0392B"/>
                <w:sz w:val="24"/>
                <w:szCs w:val="24"/>
              </w:rPr>
              <w:t xml:space="preserve">●●</w:t>
            </w:r>
            <w:r>
              <w:rPr>
                <w:rFonts w:ascii="Arial" w:cs="Arial" w:eastAsia="Arial" w:hAnsi="Arial"/>
                <w:color w:val="AAAAAA"/>
                <w:sz w:val="24"/>
                <w:szCs w:val="24"/>
              </w:rPr>
              <w:t xml:space="preserve">○○○</w:t>
            </w:r>
            <w:r>
              <w:rPr>
                <w:rFonts w:ascii="Arial" w:cs="Arial" w:eastAsia="Arial" w:hAnsi="Arial"/>
                <w:color w:val="555555"/>
                <w:sz w:val="20"/>
                <w:szCs w:val="20"/>
              </w:rPr>
              <w:t xml:space="preserve">  2/5</w:t>
            </w:r>
          </w:p>
        </w:tc>
      </w:tr>
    </w:tbl>
    <w:p>
      <w:pPr>
        <w:spacing w:before="200" w:after="0"/>
      </w:pPr>
    </w:p>
    <w:p>
      <w:pPr>
        <w:pStyle w:val="Heading2"/>
        <w:spacing w:before="280" w:after="140"/>
      </w:pPr>
      <w:r>
        <w:rPr>
          <w:rFonts w:ascii="Arial" w:cs="Arial" w:eastAsia="Arial" w:hAnsi="Arial"/>
          <w:b/>
          <w:bCs/>
          <w:color w:val="1F3864"/>
          <w:sz w:val="28"/>
          <w:szCs w:val="28"/>
        </w:rPr>
        <w:t xml:space="preserve">5.2 —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200"/>
              <w:bottom w:type="dxa" w:w="120"/>
              <w:right w:type="dxa" w:w="200"/>
            </w:tcMar>
          </w:tcPr>
          <w:p>
            <w:pPr>
              <w:spacing w:before="60" w:after="100"/>
            </w:pPr>
            <w:r>
              <w:rPr>
                <w:rFonts w:ascii="Arial" w:cs="Arial" w:eastAsia="Arial" w:hAnsi="Arial"/>
                <w:b/>
                <w:bCs/>
                <w:color w:val="D4700A"/>
                <w:sz w:val="22"/>
                <w:szCs w:val="22"/>
              </w:rPr>
              <w:t xml:space="preserve">VERDICT : Un Concept Brillant, Un Plan Incomplet</w:t>
            </w:r>
          </w:p>
          <w:p>
            <w:pPr>
              <w:spacing w:before="40" w:after="40" w:line="300"/>
            </w:pPr>
            <w:r>
              <w:rPr>
                <w:rFonts w:ascii="Arial" w:cs="Arial" w:eastAsia="Arial" w:hAnsi="Arial"/>
                <w:color w:val="333333"/>
                <w:sz w:val="20"/>
                <w:szCs w:val="20"/>
              </w:rPr>
              <w:t xml:space="preserve">→  L'idée centrale est réellement innovante et adaptée au marché haïtien</w:t>
            </w:r>
          </w:p>
          <w:p>
            <w:pPr>
              <w:spacing w:before="40" w:after="40" w:line="300"/>
            </w:pPr>
            <w:r>
              <w:rPr>
                <w:rFonts w:ascii="Arial" w:cs="Arial" w:eastAsia="Arial" w:hAnsi="Arial"/>
                <w:color w:val="333333"/>
                <w:sz w:val="20"/>
                <w:szCs w:val="20"/>
              </w:rPr>
              <w:t xml:space="preserve">→  La mathématique de distribution est sophistiquée et globalement correcte</w:t>
            </w:r>
          </w:p>
          <w:p>
            <w:pPr>
              <w:spacing w:before="40" w:after="40" w:line="300"/>
            </w:pPr>
            <w:r>
              <w:rPr>
                <w:rFonts w:ascii="Arial" w:cs="Arial" w:eastAsia="Arial" w:hAnsi="Arial"/>
                <w:color w:val="333333"/>
                <w:sz w:val="20"/>
                <w:szCs w:val="20"/>
              </w:rPr>
              <w:t xml:space="preserve">→  MAIS : 3 failles critiques empêchent tout lancement responsable actuellement</w:t>
            </w:r>
          </w:p>
          <w:p>
            <w:pPr>
              <w:spacing w:before="40" w:after="40" w:line="300"/>
            </w:pPr>
            <w:r>
              <w:rPr>
                <w:rFonts w:ascii="Arial" w:cs="Arial" w:eastAsia="Arial" w:hAnsi="Arial"/>
                <w:color w:val="333333"/>
                <w:sz w:val="20"/>
                <w:szCs w:val="20"/>
              </w:rPr>
              <w:t xml:space="preserve">→  MAIS : Le document confond "concept" et "plan" — il manque 60% du travail préalable</w:t>
            </w:r>
          </w:p>
        </w:tc>
      </w:tr>
    </w:tbl>
    <w:p>
      <w:pPr>
        <w:spacing w:before="100" w:after="0"/>
      </w:pPr>
    </w:p>
    <w:p>
      <w:pPr>
        <w:spacing w:before="80" w:after="120" w:line="340"/>
      </w:pPr>
      <w:r>
        <w:rPr>
          <w:rFonts w:ascii="Arial" w:cs="Arial" w:eastAsia="Arial" w:hAnsi="Arial"/>
          <w:b w:val="false"/>
          <w:bCs w:val="false"/>
          <w:i w:val="false"/>
          <w:iCs w:val="false"/>
          <w:color w:val="222222"/>
          <w:sz w:val="22"/>
          <w:szCs w:val="22"/>
        </w:rPr>
        <w:t xml:space="preserve">La Battle de Cotes a le potentiel de devenir un jeu viral et rentable en Haïti. Mais dans son état actuel, ce Plan Directeur est un point de départ brillant, pas un plan de lancement. Les trois failles critiques — la définition du gagnant, le cadre légal, et la gestion des cas extrêmes du surplus négatif — doivent être résolues avant d'écrire une seule ligne de code ou de dépenser un seul dollar en marketing.</w:t>
      </w:r>
    </w:p>
    <w:p>
      <w:pPr>
        <w:spacing w:before="80" w:after="0"/>
      </w:pPr>
    </w:p>
    <w:p>
      <w:pPr>
        <w:spacing w:before="80" w:after="120" w:line="340"/>
      </w:pPr>
      <w:r>
        <w:rPr>
          <w:rFonts w:ascii="Arial" w:cs="Arial" w:eastAsia="Arial" w:hAnsi="Arial"/>
          <w:b w:val="false"/>
          <w:bCs w:val="false"/>
          <w:i w:val="false"/>
          <w:iCs w:val="false"/>
          <w:color w:val="222222"/>
          <w:sz w:val="22"/>
          <w:szCs w:val="22"/>
        </w:rPr>
        <w:t xml:space="preserve">La prochaine étape recommandée est de produire un document complémentaire en trois parties : (1) les règles complètes du jeu avec le mécanisme de sélection des gagnants, (2) un avis juridique haïtien, et (3) un modèle financier simulé sur 52 semaines. Avec ces trois éléments, ce projet peut devenir finançable et lançable.</w:t>
      </w:r>
    </w:p>
    <w:p>
      <w:pPr>
        <w:spacing w:before="200" w:after="0"/>
      </w:pPr>
    </w:p>
    <w:p>
      <w:pPr>
        <w:pBdr>
          <w:bottom w:val="single" w:color="CCCCCC" w:sz="4" w:space="1"/>
        </w:pBdr>
        <w:spacing w:before="160" w:after="160"/>
      </w:pPr>
    </w:p>
    <w:p>
      <w:pPr>
        <w:spacing w:before="120" w:after="0"/>
        <w:jc w:val="center"/>
      </w:pPr>
      <w:r>
        <w:rPr>
          <w:rFonts w:ascii="Arial" w:cs="Arial" w:eastAsia="Arial" w:hAnsi="Arial"/>
          <w:i/>
          <w:iCs/>
          <w:color w:val="888888"/>
          <w:sz w:val="18"/>
          <w:szCs w:val="18"/>
        </w:rPr>
        <w:t xml:space="preserve">Analyse réalisée en 2026 — Document confidentiel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F3864"/>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2026-03-02T09:09:15.796Z</dcterms:created>
  <dcterms:modified xsi:type="dcterms:W3CDTF">2026-03-02T09:09:15.797Z</dcterms:modified>
</cp:coreProperties>
</file>

<file path=docProps/custom.xml><?xml version="1.0" encoding="utf-8"?>
<Properties xmlns="http://schemas.openxmlformats.org/officeDocument/2006/custom-properties" xmlns:vt="http://schemas.openxmlformats.org/officeDocument/2006/docPropsVTypes"/>
</file>