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C99A2E"/>
          <w:spacing w:val="30"/>
          <w:sz w:val="22"/>
          <w:szCs w:val="22"/>
        </w:rPr>
        <w:t xml:space="preserve">DIGIT'HÉRITAGE BY FINANEX</w:t>
      </w:r>
    </w:p>
    <w:p>
      <w:pPr>
        <w:spacing w:after="100" w:before="100"/>
        <w:jc w:val="center"/>
      </w:pPr>
      <w:r>
        <w:rPr>
          <w:i/>
          <w:iCs/>
          <w:color w:val="595347"/>
          <w:sz w:val="22"/>
          <w:szCs w:val="22"/>
        </w:rPr>
        <w:t xml:space="preserve">Édition Indépendance du Bénin</w:t>
      </w:r>
    </w:p>
    <w:p>
      <w:pPr>
        <w:spacing w:before="600"/>
      </w:pPr>
    </w:p>
    <w:p>
      <w:pPr>
        <w:jc w:val="center"/>
      </w:pPr>
      <w:r>
        <w:rPr>
          <w:b/>
          <w:bCs/>
          <w:color w:val="171D2C"/>
          <w:sz w:val="64"/>
          <w:szCs w:val="64"/>
        </w:rPr>
        <w:t xml:space="preserve">BÉNIN VIVANT</w:t>
      </w:r>
    </w:p>
    <w:p>
      <w:pPr>
        <w:spacing w:after="600" w:before="120"/>
        <w:jc w:val="center"/>
      </w:pPr>
      <w:r>
        <w:rPr>
          <w:i/>
          <w:iCs/>
          <w:color w:val="C99A2E"/>
          <w:sz w:val="32"/>
          <w:szCs w:val="32"/>
        </w:rPr>
        <w:t xml:space="preserve">Racines et Diversité</w:t>
      </w:r>
    </w:p>
    <w:p>
      <w:pPr>
        <w:spacing w:before="800"/>
        <w:jc w:val="center"/>
      </w:pPr>
      <w:r>
        <w:rPr>
          <w:b/>
          <w:bCs/>
          <w:color w:val="1A1A1A"/>
          <w:sz w:val="26"/>
          <w:szCs w:val="26"/>
        </w:rPr>
        <w:t xml:space="preserve">Dossier de soumission</w:t>
      </w:r>
    </w:p>
    <w:p>
      <w:pPr>
        <w:spacing w:before="80"/>
        <w:jc w:val="center"/>
      </w:pPr>
      <w:r>
        <w:rPr>
          <w:color w:val="595347"/>
          <w:sz w:val="20"/>
          <w:szCs w:val="20"/>
        </w:rPr>
        <w:t xml:space="preserve">Problème · Solution · Impact · Thématique du concours</w:t>
      </w:r>
    </w:p>
    <w:p>
      <w:pPr>
        <w:spacing w:before="2000"/>
      </w:pPr>
    </w:p>
    <w:p>
      <w:pPr>
        <w:jc w:val="center"/>
      </w:pPr>
      <w:r>
        <w:rPr>
          <w:color w:val="595347"/>
          <w:sz w:val="20"/>
          <w:szCs w:val="20"/>
        </w:rPr>
        <w:t xml:space="preserve">Juillet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C99A2E" w:sz="6" w:space="4"/>
        </w:pBdr>
        <w:spacing w:after="200" w:before="400"/>
      </w:pPr>
      <w:r>
        <w:rPr>
          <w:b/>
          <w:bCs/>
          <w:color w:val="171D2C"/>
          <w:sz w:val="30"/>
          <w:szCs w:val="30"/>
        </w:rPr>
        <w:t xml:space="preserve">1. Résumé exécutif</w:t>
      </w:r>
    </w:p>
    <w:p>
      <w:pPr>
        <w:spacing w:after="160" w:line="300"/>
      </w:pPr>
      <w:r>
        <w:rPr>
          <w:color w:val="1A1A1A"/>
          <w:sz w:val="22"/>
          <w:szCs w:val="22"/>
        </w:rPr>
        <w:t xml:space="preserve">Bénin Vivant : Racines et Diversité est une plateforme numérique (application web et mobile installable) qui rassemble, en un seul espace, l'encyclopédie culturelle des peuples du Bénin, la géolocalisation de ses sites historiques, un annuaire de guides touristiques, et des outils communautaires de signalement, de contribution et de financement participatif dédiés à la sauvegarde du patrimoine.</w:t>
      </w:r>
    </w:p>
    <w:p>
      <w:pPr>
        <w:spacing w:after="160" w:line="300"/>
      </w:pPr>
      <w:r>
        <w:rPr>
          <w:color w:val="1A1A1A"/>
          <w:sz w:val="22"/>
          <w:szCs w:val="22"/>
        </w:rPr>
        <w:t xml:space="preserve">Conçu pour le concours Digit'Héritage by Finanex, dans son édition consacrée à l'Indépendance du Bénin, ce projet répond à un constat simple : la richesse patrimoniale du pays reste largement dispersée, peu documentée numériquement, et peu accessible aux jeunes générations comme aux visiteurs internationaux.</w:t>
      </w:r>
    </w:p>
    <w:p>
      <w:pPr>
        <w:pStyle w:val="Heading1"/>
        <w:pBdr>
          <w:bottom w:val="single" w:color="C99A2E" w:sz="6" w:space="4"/>
        </w:pBdr>
        <w:spacing w:after="200" w:before="400"/>
      </w:pPr>
      <w:r>
        <w:rPr>
          <w:b/>
          <w:bCs/>
          <w:color w:val="171D2C"/>
          <w:sz w:val="30"/>
          <w:szCs w:val="30"/>
        </w:rPr>
        <w:t xml:space="preserve">2. Le problème</w:t>
      </w:r>
    </w:p>
    <w:p>
      <w:pPr>
        <w:spacing w:after="160" w:line="300"/>
      </w:pPr>
      <w:r>
        <w:rPr>
          <w:color w:val="1A1A1A"/>
          <w:sz w:val="22"/>
          <w:szCs w:val="22"/>
        </w:rPr>
        <w:t xml:space="preserve">Le Bénin porte un patrimoine culturel, historique et touristique exceptionnel : les royaumes précoloniaux de Danxomè, Nikki, Kétou et Porto-Novo, la mémoire de la route de l'esclave à Ouidah, la diversité de plus d'une quarantaine de groupes ethniques, et un tissu de traditions vivantes (vodun, fêtes royales, architecture troglodyte des Tata Somba). Pourtant, plusieurs obstacles limitent aujourd'hui sa valorisation :</w:t>
      </w:r>
    </w:p>
    <w:p>
      <w:pPr>
        <w:pStyle w:val="ListParagraph"/>
        <w:numPr>
          <w:ilvl w:val="0"/>
          <w:numId w:val="2"/>
        </w:numPr>
        <w:spacing w:after="100" w:line="280"/>
      </w:pPr>
      <w:r>
        <w:rPr>
          <w:color w:val="1A1A1A"/>
          <w:sz w:val="22"/>
          <w:szCs w:val="22"/>
        </w:rPr>
        <w:t xml:space="preserve">L'information est dispersée entre musées physiques, récits oraux non documentés et archives difficiles d'accès.</w:t>
      </w:r>
    </w:p>
    <w:p>
      <w:pPr>
        <w:pStyle w:val="ListParagraph"/>
        <w:numPr>
          <w:ilvl w:val="0"/>
          <w:numId w:val="2"/>
        </w:numPr>
        <w:spacing w:after="100" w:line="280"/>
      </w:pPr>
      <w:r>
        <w:rPr>
          <w:color w:val="1A1A1A"/>
          <w:sz w:val="22"/>
          <w:szCs w:val="22"/>
        </w:rPr>
        <w:t xml:space="preserve">Les jeunes Béninois connaissent souvent mal l'histoire précise de leurs propres ethnies et royaumes, faute de support numérique attractif.</w:t>
      </w:r>
    </w:p>
    <w:p>
      <w:pPr>
        <w:pStyle w:val="ListParagraph"/>
        <w:numPr>
          <w:ilvl w:val="0"/>
          <w:numId w:val="2"/>
        </w:numPr>
        <w:spacing w:after="100" w:line="280"/>
      </w:pPr>
      <w:r>
        <w:rPr>
          <w:color w:val="1A1A1A"/>
          <w:sz w:val="22"/>
          <w:szCs w:val="22"/>
        </w:rPr>
        <w:t xml:space="preserve">Les touristes, nationaux comme internationaux, manquent d'un outil unique pour localiser les sites, estimer un temps de visite, et entrer en contact avec des guides locaux fiables.</w:t>
      </w:r>
    </w:p>
    <w:p>
      <w:pPr>
        <w:pStyle w:val="ListParagraph"/>
        <w:numPr>
          <w:ilvl w:val="0"/>
          <w:numId w:val="2"/>
        </w:numPr>
        <w:spacing w:after="100" w:line="280"/>
      </w:pPr>
      <w:r>
        <w:rPr>
          <w:color w:val="1A1A1A"/>
          <w:sz w:val="22"/>
          <w:szCs w:val="22"/>
        </w:rPr>
        <w:t xml:space="preserve">Le patrimoine physique (sites, monuments, traditions) se dégrade parfois sans qu'aucun canal simple ne permette de le signaler ou d'agir concrètement pour sa sauvegarde.</w:t>
      </w:r>
    </w:p>
    <w:p>
      <w:pPr>
        <w:pStyle w:val="ListParagraph"/>
        <w:numPr>
          <w:ilvl w:val="0"/>
          <w:numId w:val="2"/>
        </w:numPr>
        <w:spacing w:after="100" w:line="280"/>
      </w:pPr>
      <w:r>
        <w:rPr>
          <w:color w:val="1A1A1A"/>
          <w:sz w:val="22"/>
          <w:szCs w:val="22"/>
        </w:rPr>
        <w:t xml:space="preserve">Les initiatives locales de préservation (restauration, collecte de récits, projets scolaires) peinent à trouver un financement participatif structuré et transparent.</w:t>
      </w:r>
    </w:p>
    <w:p>
      <w:pPr>
        <w:pStyle w:val="Heading1"/>
        <w:pBdr>
          <w:bottom w:val="single" w:color="C99A2E" w:sz="6" w:space="4"/>
        </w:pBdr>
        <w:spacing w:after="200" w:before="400"/>
      </w:pPr>
      <w:r>
        <w:rPr>
          <w:b/>
          <w:bCs/>
          <w:color w:val="171D2C"/>
          <w:sz w:val="30"/>
          <w:szCs w:val="30"/>
        </w:rPr>
        <w:t xml:space="preserve">3. La solution : Bénin Vivant</w:t>
      </w:r>
    </w:p>
    <w:p>
      <w:pPr>
        <w:spacing w:after="160" w:line="300"/>
      </w:pPr>
      <w:r>
        <w:rPr>
          <w:color w:val="1A1A1A"/>
          <w:sz w:val="22"/>
          <w:szCs w:val="22"/>
        </w:rPr>
        <w:t xml:space="preserve">Bénin Vivant répond à ces constats par une plateforme unique organisée en treize modules complémentaires, pensée pour trois publics prioritaires : les jeunes Béninois en quête de leurs racines, les touristes en préparation de visite, et les acteurs du patrimoine (écoles, associations, communes, guides) qui ont besoin d'un canal pour agir.</w:t>
      </w:r>
    </w:p>
    <w:p>
      <w:pPr>
        <w:pStyle w:val="Heading2"/>
        <w:spacing w:after="140" w:before="280"/>
      </w:pPr>
      <w:r>
        <w:rPr>
          <w:b/>
          <w:bCs/>
          <w:color w:val="171D2C"/>
          <w:sz w:val="24"/>
          <w:szCs w:val="24"/>
        </w:rPr>
        <w:t xml:space="preserve">3.1 Découvrir</w:t>
      </w:r>
    </w:p>
    <w:p>
      <w:pPr>
        <w:pStyle w:val="ListParagraph"/>
        <w:numPr>
          <w:ilvl w:val="0"/>
          <w:numId w:val="2"/>
        </w:numPr>
        <w:spacing w:after="100" w:line="280"/>
      </w:pPr>
      <w:r>
        <w:rPr>
          <w:color w:val="1A1A1A"/>
          <w:sz w:val="22"/>
          <w:szCs w:val="22"/>
        </w:rPr>
        <w:t xml:space="preserve">Encyclopédie culturelle complète par ethnie (histoire, religion, gastronomie, danses, tenues, objets d'art).</w:t>
      </w:r>
    </w:p>
    <w:p>
      <w:pPr>
        <w:pStyle w:val="ListParagraph"/>
        <w:numPr>
          <w:ilvl w:val="0"/>
          <w:numId w:val="2"/>
        </w:numPr>
        <w:spacing w:after="100" w:line="280"/>
      </w:pPr>
      <w:r>
        <w:rPr>
          <w:color w:val="1A1A1A"/>
          <w:sz w:val="22"/>
          <w:szCs w:val="22"/>
        </w:rPr>
        <w:t xml:space="preserve">Frise chronologique interactive, des royaumes précoloniaux à l'évolution moderne du pays.</w:t>
      </w:r>
    </w:p>
    <w:p>
      <w:pPr>
        <w:pStyle w:val="ListParagraph"/>
        <w:numPr>
          <w:ilvl w:val="0"/>
          <w:numId w:val="2"/>
        </w:numPr>
        <w:spacing w:after="100" w:line="280"/>
      </w:pPr>
      <w:r>
        <w:rPr>
          <w:color w:val="1A1A1A"/>
          <w:sz w:val="22"/>
          <w:szCs w:val="22"/>
        </w:rPr>
        <w:t xml:space="preserve">Sites historiques géolocalisés avec calcul de distance, itinéraire en temps réel et durée de visite recommandée.</w:t>
      </w:r>
    </w:p>
    <w:p>
      <w:pPr>
        <w:pStyle w:val="ListParagraph"/>
        <w:numPr>
          <w:ilvl w:val="0"/>
          <w:numId w:val="2"/>
        </w:numPr>
        <w:spacing w:after="100" w:line="280"/>
      </w:pPr>
      <w:r>
        <w:rPr>
          <w:color w:val="1A1A1A"/>
          <w:sz w:val="22"/>
          <w:szCs w:val="22"/>
        </w:rPr>
        <w:t xml:space="preserve">Carte interactive des langues nationales, avec prononciation audio.</w:t>
      </w:r>
    </w:p>
    <w:p>
      <w:pPr>
        <w:pStyle w:val="ListParagraph"/>
        <w:numPr>
          <w:ilvl w:val="0"/>
          <w:numId w:val="2"/>
        </w:numPr>
        <w:spacing w:after="100" w:line="280"/>
      </w:pPr>
      <w:r>
        <w:rPr>
          <w:color w:val="1A1A1A"/>
          <w:sz w:val="22"/>
          <w:szCs w:val="22"/>
        </w:rPr>
        <w:t xml:space="preserve">Calendrier des événements traditionnels et culturels (fêtes, cérémonies, marchés), avec rappel calendrier personnel.</w:t>
      </w:r>
    </w:p>
    <w:p>
      <w:pPr>
        <w:pStyle w:val="Heading2"/>
        <w:spacing w:after="140" w:before="280"/>
      </w:pPr>
      <w:r>
        <w:rPr>
          <w:b/>
          <w:bCs/>
          <w:color w:val="171D2C"/>
          <w:sz w:val="24"/>
          <w:szCs w:val="24"/>
        </w:rPr>
        <w:t xml:space="preserve">3.2 Apprendre et se connecter</w:t>
      </w:r>
    </w:p>
    <w:p>
      <w:pPr>
        <w:pStyle w:val="ListParagraph"/>
        <w:numPr>
          <w:ilvl w:val="0"/>
          <w:numId w:val="2"/>
        </w:numPr>
        <w:spacing w:after="100" w:line="280"/>
      </w:pPr>
      <w:r>
        <w:rPr>
          <w:color w:val="1A1A1A"/>
          <w:sz w:val="22"/>
          <w:szCs w:val="22"/>
        </w:rPr>
        <w:t xml:space="preserve">Quiz thématiques gamifiés (histoire, traditions, langues) avec système de badges.</w:t>
      </w:r>
    </w:p>
    <w:p>
      <w:pPr>
        <w:pStyle w:val="ListParagraph"/>
        <w:numPr>
          <w:ilvl w:val="0"/>
          <w:numId w:val="2"/>
        </w:numPr>
        <w:spacing w:after="100" w:line="280"/>
      </w:pPr>
      <w:r>
        <w:rPr>
          <w:color w:val="1A1A1A"/>
          <w:sz w:val="22"/>
          <w:szCs w:val="22"/>
        </w:rPr>
        <w:t xml:space="preserve">Guide culturel intelligent (chatbot IA), qui répond aux questions des visiteurs à partir du seul contenu vérifié de la plateforme.</w:t>
      </w:r>
    </w:p>
    <w:p>
      <w:pPr>
        <w:pStyle w:val="ListParagraph"/>
        <w:numPr>
          <w:ilvl w:val="0"/>
          <w:numId w:val="2"/>
        </w:numPr>
        <w:spacing w:after="100" w:line="280"/>
      </w:pPr>
      <w:r>
        <w:rPr>
          <w:color w:val="1A1A1A"/>
          <w:sz w:val="22"/>
          <w:szCs w:val="22"/>
        </w:rPr>
        <w:t xml:space="preserve">Annuaire de guides touristiques locaux, contactables directement.</w:t>
      </w:r>
    </w:p>
    <w:p>
      <w:pPr>
        <w:pStyle w:val="Heading2"/>
        <w:spacing w:after="140" w:before="280"/>
      </w:pPr>
      <w:r>
        <w:rPr>
          <w:b/>
          <w:bCs/>
          <w:color w:val="171D2C"/>
          <w:sz w:val="24"/>
          <w:szCs w:val="24"/>
        </w:rPr>
        <w:t xml:space="preserve">3.3 Agir</w:t>
      </w:r>
    </w:p>
    <w:p>
      <w:pPr>
        <w:pStyle w:val="ListParagraph"/>
        <w:numPr>
          <w:ilvl w:val="0"/>
          <w:numId w:val="2"/>
        </w:numPr>
        <w:spacing w:after="100" w:line="280"/>
      </w:pPr>
      <w:r>
        <w:rPr>
          <w:color w:val="1A1A1A"/>
          <w:sz w:val="22"/>
          <w:szCs w:val="22"/>
        </w:rPr>
        <w:t xml:space="preserve">Contribution communautaire modérée : tout citoyen peut proposer une tradition, un site ou une information locale.</w:t>
      </w:r>
    </w:p>
    <w:p>
      <w:pPr>
        <w:pStyle w:val="ListParagraph"/>
        <w:numPr>
          <w:ilvl w:val="0"/>
          <w:numId w:val="2"/>
        </w:numPr>
        <w:spacing w:after="100" w:line="280"/>
      </w:pPr>
      <w:r>
        <w:rPr>
          <w:color w:val="1A1A1A"/>
          <w:sz w:val="22"/>
          <w:szCs w:val="22"/>
        </w:rPr>
        <w:t xml:space="preserve">Signalement de problèmes patrimoniaux (site dégradé, monument menacé, tradition en danger), avec suivi de statut et carte des signalements actifs.</w:t>
      </w:r>
    </w:p>
    <w:p>
      <w:pPr>
        <w:pStyle w:val="ListParagraph"/>
        <w:numPr>
          <w:ilvl w:val="0"/>
          <w:numId w:val="2"/>
        </w:numPr>
        <w:spacing w:after="100" w:line="280"/>
      </w:pPr>
      <w:r>
        <w:rPr>
          <w:color w:val="1A1A1A"/>
          <w:sz w:val="22"/>
          <w:szCs w:val="22"/>
        </w:rPr>
        <w:t xml:space="preserve">Projets de sauvegarde et de valorisation, financés par des dons transparents via mobile money (MTN MoMo, Moov Money) et FedaPay.</w:t>
      </w:r>
    </w:p>
    <w:p>
      <w:pPr>
        <w:pStyle w:val="Heading1"/>
        <w:pBdr>
          <w:bottom w:val="single" w:color="C99A2E" w:sz="6" w:space="4"/>
        </w:pBdr>
        <w:spacing w:after="200" w:before="400"/>
      </w:pPr>
      <w:r>
        <w:rPr>
          <w:b/>
          <w:bCs/>
          <w:color w:val="171D2C"/>
          <w:sz w:val="30"/>
          <w:szCs w:val="30"/>
        </w:rPr>
        <w:t xml:space="preserve">4. Impact attendu</w:t>
      </w:r>
    </w:p>
    <w:p>
      <w:pPr>
        <w:pStyle w:val="Heading2"/>
        <w:spacing w:after="140" w:before="280"/>
      </w:pPr>
      <w:r>
        <w:rPr>
          <w:b/>
          <w:bCs/>
          <w:color w:val="171D2C"/>
          <w:sz w:val="24"/>
          <w:szCs w:val="24"/>
        </w:rPr>
        <w:t xml:space="preserve">4.1 Impact culturel et éducatif</w:t>
      </w:r>
    </w:p>
    <w:p>
      <w:pPr>
        <w:pStyle w:val="ListParagraph"/>
        <w:numPr>
          <w:ilvl w:val="0"/>
          <w:numId w:val="2"/>
        </w:numPr>
        <w:spacing w:after="100" w:line="280"/>
      </w:pPr>
      <w:r>
        <w:rPr>
          <w:color w:val="1A1A1A"/>
          <w:sz w:val="22"/>
          <w:szCs w:val="22"/>
        </w:rPr>
        <w:t xml:space="preserve">Rendre accessible en quelques clics une information patrimoniale jusqu'ici dispersée, en particulier pour les écoles et enseignants.</w:t>
      </w:r>
    </w:p>
    <w:p>
      <w:pPr>
        <w:pStyle w:val="ListParagraph"/>
        <w:numPr>
          <w:ilvl w:val="0"/>
          <w:numId w:val="2"/>
        </w:numPr>
        <w:spacing w:after="100" w:line="280"/>
      </w:pPr>
      <w:r>
        <w:rPr>
          <w:color w:val="1A1A1A"/>
          <w:sz w:val="22"/>
          <w:szCs w:val="22"/>
        </w:rPr>
        <w:t xml:space="preserve">Renforcer chez les jeunes Béninois le sentiment d'appartenance à une histoire et une diversité culturelle communes.</w:t>
      </w:r>
    </w:p>
    <w:p>
      <w:pPr>
        <w:pStyle w:val="ListParagraph"/>
        <w:numPr>
          <w:ilvl w:val="0"/>
          <w:numId w:val="2"/>
        </w:numPr>
        <w:spacing w:after="100" w:line="280"/>
      </w:pPr>
      <w:r>
        <w:rPr>
          <w:color w:val="1A1A1A"/>
          <w:sz w:val="22"/>
          <w:szCs w:val="22"/>
        </w:rPr>
        <w:t xml:space="preserve">Documenter numériquement des traditions orales avant qu'elles ne se perdent, grâce au module de contribution communautaire.</w:t>
      </w:r>
    </w:p>
    <w:p>
      <w:pPr>
        <w:pStyle w:val="Heading2"/>
        <w:spacing w:after="140" w:before="280"/>
      </w:pPr>
      <w:r>
        <w:rPr>
          <w:b/>
          <w:bCs/>
          <w:color w:val="171D2C"/>
          <w:sz w:val="24"/>
          <w:szCs w:val="24"/>
        </w:rPr>
        <w:t xml:space="preserve">4.2 Impact touristique et économique</w:t>
      </w:r>
    </w:p>
    <w:p>
      <w:pPr>
        <w:pStyle w:val="ListParagraph"/>
        <w:numPr>
          <w:ilvl w:val="0"/>
          <w:numId w:val="2"/>
        </w:numPr>
        <w:spacing w:after="100" w:line="280"/>
      </w:pPr>
      <w:r>
        <w:rPr>
          <w:color w:val="1A1A1A"/>
          <w:sz w:val="22"/>
          <w:szCs w:val="22"/>
        </w:rPr>
        <w:t xml:space="preserve">Faciliter la découverte physique des sites pour les touristes nationaux et internationaux, avec un outil de géolocalisation en temps réel comparable aux standards internationaux.</w:t>
      </w:r>
    </w:p>
    <w:p>
      <w:pPr>
        <w:pStyle w:val="ListParagraph"/>
        <w:numPr>
          <w:ilvl w:val="0"/>
          <w:numId w:val="2"/>
        </w:numPr>
        <w:spacing w:after="100" w:line="280"/>
      </w:pPr>
      <w:r>
        <w:rPr>
          <w:color w:val="1A1A1A"/>
          <w:sz w:val="22"/>
          <w:szCs w:val="22"/>
        </w:rPr>
        <w:t xml:space="preserve">Créer un canal de visibilité et de revenus directs pour les guides touristiques locaux, via l'annuaire et la mise en relation.</w:t>
      </w:r>
    </w:p>
    <w:p>
      <w:pPr>
        <w:pStyle w:val="ListParagraph"/>
        <w:numPr>
          <w:ilvl w:val="0"/>
          <w:numId w:val="2"/>
        </w:numPr>
        <w:spacing w:after="100" w:line="280"/>
      </w:pPr>
      <w:r>
        <w:rPr>
          <w:color w:val="1A1A1A"/>
          <w:sz w:val="22"/>
          <w:szCs w:val="22"/>
        </w:rPr>
        <w:t xml:space="preserve">Soutenir l'économie locale autour des sites patrimoniaux (hébergement, artisanat, restauration).</w:t>
      </w:r>
    </w:p>
    <w:p>
      <w:pPr>
        <w:pStyle w:val="Heading2"/>
        <w:spacing w:after="140" w:before="280"/>
      </w:pPr>
      <w:r>
        <w:rPr>
          <w:b/>
          <w:bCs/>
          <w:color w:val="171D2C"/>
          <w:sz w:val="24"/>
          <w:szCs w:val="24"/>
        </w:rPr>
        <w:t xml:space="preserve">4.3 Impact sur la préservation du patrimoine</w:t>
      </w:r>
    </w:p>
    <w:p>
      <w:pPr>
        <w:pStyle w:val="ListParagraph"/>
        <w:numPr>
          <w:ilvl w:val="0"/>
          <w:numId w:val="2"/>
        </w:numPr>
        <w:spacing w:after="100" w:line="280"/>
      </w:pPr>
      <w:r>
        <w:rPr>
          <w:color w:val="1A1A1A"/>
          <w:sz w:val="22"/>
          <w:szCs w:val="22"/>
        </w:rPr>
        <w:t xml:space="preserve">Mettre en place un canal de signalement citoyen structuré, permettant une réaction plus rapide face à la dégradation de sites ou monuments.</w:t>
      </w:r>
    </w:p>
    <w:p>
      <w:pPr>
        <w:pStyle w:val="ListParagraph"/>
        <w:numPr>
          <w:ilvl w:val="0"/>
          <w:numId w:val="2"/>
        </w:numPr>
        <w:spacing w:after="100" w:line="280"/>
      </w:pPr>
      <w:r>
        <w:rPr>
          <w:color w:val="1A1A1A"/>
          <w:sz w:val="22"/>
          <w:szCs w:val="22"/>
        </w:rPr>
        <w:t xml:space="preserve">Mobiliser un financement participatif transparent pour des projets concrets de restauration, de collecte de récits et d'initiatives scolaires.</w:t>
      </w:r>
    </w:p>
    <w:p>
      <w:pPr>
        <w:pStyle w:val="ListParagraph"/>
        <w:numPr>
          <w:ilvl w:val="0"/>
          <w:numId w:val="2"/>
        </w:numPr>
        <w:spacing w:after="100" w:line="280"/>
      </w:pPr>
      <w:r>
        <w:rPr>
          <w:color w:val="1A1A1A"/>
          <w:sz w:val="22"/>
          <w:szCs w:val="22"/>
        </w:rPr>
        <w:t xml:space="preserve">Impliquer directement les écoles, associations et communes dans la gouvernance des projets de sauvegarde qu'elles portent.</w:t>
      </w:r>
    </w:p>
    <w:p>
      <w:pPr>
        <w:pStyle w:val="Heading1"/>
        <w:pBdr>
          <w:bottom w:val="single" w:color="C99A2E" w:sz="6" w:space="4"/>
        </w:pBdr>
        <w:spacing w:after="200" w:before="400"/>
      </w:pPr>
      <w:r>
        <w:rPr>
          <w:b/>
          <w:bCs/>
          <w:color w:val="171D2C"/>
          <w:sz w:val="30"/>
          <w:szCs w:val="30"/>
        </w:rPr>
        <w:t xml:space="preserve">5. Lien avec la thématique du concours : l'Indépendance du Bénin</w:t>
      </w:r>
    </w:p>
    <w:p>
      <w:pPr>
        <w:spacing w:after="160" w:line="300"/>
      </w:pPr>
      <w:r>
        <w:rPr>
          <w:color w:val="1A1A1A"/>
          <w:sz w:val="22"/>
          <w:szCs w:val="22"/>
        </w:rPr>
        <w:t xml:space="preserve">Le choix du nom « Bénin Vivant » n'est pas anodin : il affirme que le patrimoine n'est pas un objet figé dans le passé, mais une matière vivante que chaque génération continue d'écrire. Cette conviction fait écho direct à la thématique de l'Indépendance du Bénin, proclamée le 1er août 1960 : l'indépendance politique s'est accompagnée d'un long travail, toujours en cours, de réappropriation et de valorisation d'une identité culturelle propre, longtemps minorée durant la période coloniale.</w:t>
      </w:r>
    </w:p>
    <w:p>
      <w:pPr>
        <w:spacing w:after="160" w:line="300"/>
      </w:pPr>
      <w:r>
        <w:rPr>
          <w:color w:val="1A1A1A"/>
          <w:sz w:val="22"/>
          <w:szCs w:val="22"/>
        </w:rPr>
        <w:t xml:space="preserve">Le module Histoire et évolution du Bénin retrace explicitement ce chemin : des royaumes précoloniaux à la résistance du roi Béhanzin face à la conquête coloniale, de la colonisation à la proclamation de l'indépendance en 1960, jusqu'au renouveau démocratique de la Conférence nationale de 1990. En permettant à chaque citoyen de consulter, mais aussi de contribuer à cette mémoire commune, Bénin Vivant prolonge concrètement l'esprit d'autodétermination et de fierté culturelle porté par l'indépendance : les Béninois ne sont plus seulement les sujets de leur propre histoire, ils en deviennent les auteurs numériques.</w:t>
      </w:r>
    </w:p>
    <w:p>
      <w:pPr>
        <w:pStyle w:val="Heading1"/>
        <w:pBdr>
          <w:bottom w:val="single" w:color="C99A2E" w:sz="6" w:space="4"/>
        </w:pBdr>
        <w:spacing w:after="200" w:before="400"/>
      </w:pPr>
      <w:r>
        <w:rPr>
          <w:b/>
          <w:bCs/>
          <w:color w:val="171D2C"/>
          <w:sz w:val="30"/>
          <w:szCs w:val="30"/>
        </w:rPr>
        <w:t xml:space="preserve">6. Aspects techniques</w:t>
      </w:r>
    </w:p>
    <w:p>
      <w:pPr>
        <w:spacing w:after="160" w:line="300"/>
      </w:pPr>
      <w:r>
        <w:rPr>
          <w:color w:val="1A1A1A"/>
          <w:sz w:val="22"/>
          <w:szCs w:val="22"/>
        </w:rPr>
        <w:t xml:space="preserve">La plateforme repose sur une architecture PHP natif (PDO) et MySQL côté serveur, une interface HTML/CSS/JavaScript sans dépendance lourde côté client, et un microservice Python (FastAPI) dédié au chatbot culturel intelligent, isolé pour des raisons de sécurité et de performance. La sécurité a été pensée dès la conception : mots de passe hashés (bcrypt), protection CSRF, contrôle d'accès par rôle (visiteur, contributeur, guide, admin, super admin), limitation de débit contre les abus, validation stricte de toute donnée entrante, et journal d'audit des actions sensibles.</w:t>
      </w:r>
    </w:p>
    <w:p>
      <w:pPr>
        <w:spacing w:after="160" w:line="300"/>
      </w:pPr>
      <w:r>
        <w:rPr>
          <w:color w:val="1A1A1A"/>
          <w:sz w:val="22"/>
          <w:szCs w:val="22"/>
        </w:rPr>
        <w:t xml:space="preserve">Le choix technique d'une PWA (Progressive Web App) — plutôt que deux applications natives distinctes — permet une installation directe sur smartphone sans passage par un store applicatif, un fonctionnement hors-ligne partiel, et une seule base de code à maintenir, ce qui est réaliste dans le délai imparti par le concours.</w:t>
      </w:r>
    </w:p>
    <w:p>
      <w:pPr>
        <w:pStyle w:val="Heading1"/>
        <w:pBdr>
          <w:bottom w:val="single" w:color="C99A2E" w:sz="6" w:space="4"/>
        </w:pBdr>
        <w:spacing w:after="200" w:before="400"/>
      </w:pPr>
      <w:r>
        <w:rPr>
          <w:b/>
          <w:bCs/>
          <w:color w:val="171D2C"/>
          <w:sz w:val="30"/>
          <w:szCs w:val="30"/>
        </w:rPr>
        <w:t xml:space="preserve">7. Feuille de route et état d'avancement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shd w:fill="171D2C" w:val="clear"/>
            <w:tcMar>
              <w:top w:type="dxa" w:w="100"/>
              <w:left w:type="dxa" w:w="120"/>
              <w:bottom w:type="dxa" w:w="100"/>
              <w:right w:type="dxa" w:w="120"/>
            </w:tcMar>
          </w:tcPr>
          <w:p>
            <w:r>
              <w:rPr>
                <w:b/>
                <w:bCs/>
                <w:color w:val="FFFFFF"/>
                <w:sz w:val="20"/>
                <w:szCs w:val="20"/>
              </w:rPr>
              <w:t xml:space="preserve">Période</w:t>
            </w:r>
          </w:p>
        </w:tc>
        <w:tc>
          <w:tcPr>
            <w:tcW w:type="dxa" w:w="7150"/>
            <w:shd w:fill="171D2C" w:val="clear"/>
            <w:tcMar>
              <w:top w:type="dxa" w:w="100"/>
              <w:left w:type="dxa" w:w="120"/>
              <w:bottom w:type="dxa" w:w="100"/>
              <w:right w:type="dxa" w:w="120"/>
            </w:tcMar>
          </w:tcPr>
          <w:p>
            <w:r>
              <w:rPr>
                <w:b/>
                <w:bCs/>
                <w:color w:val="FFFFFF"/>
                <w:sz w:val="20"/>
                <w:szCs w:val="20"/>
              </w:rPr>
              <w:t xml:space="preserve">Réalisations</w:t>
            </w:r>
          </w:p>
        </w:tc>
      </w:tr>
      <w:tr>
        <w:tc>
          <w:tcPr>
            <w:tcW w:type="dxa" w:w="2200"/>
            <w:tcMar>
              <w:top w:type="dxa" w:w="100"/>
              <w:left w:type="dxa" w:w="120"/>
              <w:bottom w:type="dxa" w:w="100"/>
              <w:right w:type="dxa" w:w="120"/>
            </w:tcMar>
          </w:tcPr>
          <w:p>
            <w:r>
              <w:rPr>
                <w:color w:val="1A1A1A"/>
                <w:sz w:val="20"/>
                <w:szCs w:val="20"/>
              </w:rPr>
              <w:t xml:space="preserve">Semaine 1</w:t>
            </w:r>
          </w:p>
        </w:tc>
        <w:tc>
          <w:tcPr>
            <w:tcW w:type="dxa" w:w="7150"/>
            <w:tcMar>
              <w:top w:type="dxa" w:w="100"/>
              <w:left w:type="dxa" w:w="120"/>
              <w:bottom w:type="dxa" w:w="100"/>
              <w:right w:type="dxa" w:w="120"/>
            </w:tcMar>
          </w:tcPr>
          <w:p>
            <w:r>
              <w:rPr>
                <w:color w:val="1A1A1A"/>
                <w:sz w:val="20"/>
                <w:szCs w:val="20"/>
              </w:rPr>
              <w:t xml:space="preserve">Structure de la base de données, module Encyclopédie, sites historiques géolocalisés, authentification sécurisée, premières maquettes visuelles.</w:t>
            </w:r>
          </w:p>
        </w:tc>
      </w:tr>
      <w:tr>
        <w:tc>
          <w:tcPr>
            <w:tcW w:type="dxa" w:w="2200"/>
            <w:tcMar>
              <w:top w:type="dxa" w:w="100"/>
              <w:left w:type="dxa" w:w="120"/>
              <w:bottom w:type="dxa" w:w="100"/>
              <w:right w:type="dxa" w:w="120"/>
            </w:tcMar>
          </w:tcPr>
          <w:p>
            <w:r>
              <w:rPr>
                <w:color w:val="1A1A1A"/>
                <w:sz w:val="20"/>
                <w:szCs w:val="20"/>
              </w:rPr>
              <w:t xml:space="preserve">Semaine 2</w:t>
            </w:r>
          </w:p>
        </w:tc>
        <w:tc>
          <w:tcPr>
            <w:tcW w:type="dxa" w:w="7150"/>
            <w:tcMar>
              <w:top w:type="dxa" w:w="100"/>
              <w:left w:type="dxa" w:w="120"/>
              <w:bottom w:type="dxa" w:w="100"/>
              <w:right w:type="dxa" w:w="120"/>
            </w:tcMar>
          </w:tcPr>
          <w:p>
            <w:r>
              <w:rPr>
                <w:color w:val="1A1A1A"/>
                <w:sz w:val="20"/>
                <w:szCs w:val="20"/>
              </w:rPr>
              <w:t xml:space="preserve">Itinéraires GPS, carte des langues, quiz et badges, annuaire de guides, signalements, projets de sauvegarde, module Événements, panneau d'administration complet.</w:t>
            </w:r>
          </w:p>
        </w:tc>
      </w:tr>
      <w:tr>
        <w:tc>
          <w:tcPr>
            <w:tcW w:type="dxa" w:w="2200"/>
            <w:tcMar>
              <w:top w:type="dxa" w:w="100"/>
              <w:left w:type="dxa" w:w="120"/>
              <w:bottom w:type="dxa" w:w="100"/>
              <w:right w:type="dxa" w:w="120"/>
            </w:tcMar>
          </w:tcPr>
          <w:p>
            <w:r>
              <w:rPr>
                <w:color w:val="1A1A1A"/>
                <w:sz w:val="20"/>
                <w:szCs w:val="20"/>
              </w:rPr>
              <w:t xml:space="preserve">Derniers jours</w:t>
            </w:r>
          </w:p>
        </w:tc>
        <w:tc>
          <w:tcPr>
            <w:tcW w:type="dxa" w:w="7150"/>
            <w:tcMar>
              <w:top w:type="dxa" w:w="100"/>
              <w:left w:type="dxa" w:w="120"/>
              <w:bottom w:type="dxa" w:w="100"/>
              <w:right w:type="dxa" w:w="120"/>
            </w:tcMar>
          </w:tcPr>
          <w:p>
            <w:r>
              <w:rPr>
                <w:color w:val="1A1A1A"/>
                <w:sz w:val="20"/>
                <w:szCs w:val="20"/>
              </w:rPr>
              <w:t xml:space="preserve">Connexion du chatbot IA au contenu vérifié, configuration PWA complète, intégration du paiement réel, finitions visuelles, dossier de soumission et vidéo de présentation.</w:t>
            </w:r>
          </w:p>
        </w:tc>
      </w:tr>
    </w:tbl>
    <w:p>
      <w:pPr>
        <w:spacing w:before="300"/>
      </w:pPr>
    </w:p>
    <w:p>
      <w:pPr>
        <w:pStyle w:val="Heading1"/>
        <w:pBdr>
          <w:bottom w:val="single" w:color="C99A2E" w:sz="6" w:space="4"/>
        </w:pBdr>
        <w:spacing w:after="200" w:before="400"/>
      </w:pPr>
      <w:r>
        <w:rPr>
          <w:b/>
          <w:bCs/>
          <w:color w:val="171D2C"/>
          <w:sz w:val="30"/>
          <w:szCs w:val="30"/>
        </w:rPr>
        <w:t xml:space="preserve">8. Conclusion</w:t>
      </w:r>
    </w:p>
    <w:p>
      <w:pPr>
        <w:spacing w:after="160" w:line="300"/>
      </w:pPr>
      <w:r>
        <w:rPr>
          <w:color w:val="1A1A1A"/>
          <w:sz w:val="22"/>
          <w:szCs w:val="22"/>
        </w:rPr>
        <w:t xml:space="preserve">Bénin Vivant n'ambitionne pas seulement de documenter le patrimoine béninois : il cherche à le rendre vivant, en connectant celles et ceux qui le portent — habitants, guides, écoles, associations — à celles et ceux qui souhaitent le découvrir, le comprendre et contribuer à sa préservation. À l'occasion de l'Indépendance du Bénin, ce projet propose un geste concret : faire du numérique un outil de souveraineté culturelle, au service d'une mémoire commune que chaque génération continue d'écrire.</w:t>
      </w:r>
    </w:p>
    <w:p>
      <w:pPr>
        <w:spacing w:before="400"/>
      </w:pPr>
      <w:r>
        <w:rPr>
          <w:i/>
          <w:iCs/>
          <w:color w:val="595347"/>
          <w:sz w:val="18"/>
          <w:szCs w:val="18"/>
        </w:rPr>
        <w:t xml:space="preserve">Concours Digit'Héritage by Finanex — Édition Indépendance du Bénin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2026-07-25T06:34:09.479Z</dcterms:created>
  <dcterms:modified xsi:type="dcterms:W3CDTF">2026-07-25T06:34:09.496Z</dcterms:modified>
</cp:coreProperties>
</file>

<file path=docProps/custom.xml><?xml version="1.0" encoding="utf-8"?>
<Properties xmlns="http://schemas.openxmlformats.org/officeDocument/2006/custom-properties" xmlns:vt="http://schemas.openxmlformats.org/officeDocument/2006/docPropsVTypes"/>
</file>