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71D2C"/>
          <w:sz w:val="30"/>
          <w:szCs w:val="30"/>
        </w:rPr>
        <w:t xml:space="preserve">BÉNIN VIVANT — SCRIPT DE LA VIDÉO DE PRÉSENTATION</w:t>
      </w:r>
    </w:p>
    <w:p>
      <w:pPr>
        <w:spacing w:after="300"/>
        <w:jc w:val="center"/>
      </w:pPr>
      <w:r>
        <w:rPr>
          <w:i/>
          <w:iCs/>
          <w:color w:val="C99A2E"/>
          <w:sz w:val="20"/>
          <w:szCs w:val="20"/>
        </w:rPr>
        <w:t xml:space="preserve">Durée cible : 2 min 30 — Concours Digit'Héritage by Finanex</w:t>
      </w:r>
    </w:p>
    <w:p>
      <w:pPr>
        <w:pStyle w:val="Heading1"/>
        <w:pBdr>
          <w:bottom w:val="single" w:color="C99A2E" w:sz="6" w:space="4"/>
        </w:pBdr>
        <w:spacing w:after="180" w:before="360"/>
      </w:pPr>
      <w:r>
        <w:rPr>
          <w:b/>
          <w:bCs/>
          <w:color w:val="171D2C"/>
          <w:sz w:val="28"/>
          <w:szCs w:val="28"/>
        </w:rPr>
        <w:t xml:space="preserve">Avant de filmer</w:t>
      </w:r>
    </w:p>
    <w:p>
      <w:pPr>
        <w:spacing w:after="140" w:line="300"/>
      </w:pPr>
      <w:r>
        <w:rPr>
          <w:color w:val="1A1A1A"/>
          <w:sz w:val="21"/>
          <w:szCs w:val="21"/>
        </w:rPr>
        <w:t xml:space="preserve">Cette vidéo se filme en screen recording (capture d'écran) du site en navigant réellement entre les pages, avec une voix-off enregistrée séparément puis synchronisée au montage — ou lue en direct pendant l'enregistrement. Prévoir : le site lancé sur XAMPP avec du contenu réel affiché (pas les pages vides), un micro correct, et un logiciel de capture d'écran (OBS Studio, gratuit, fonctionne bien) réglé en 1080p.</w:t>
      </w:r>
    </w:p>
    <w:p>
      <w:pPr>
        <w:spacing w:after="140" w:line="300"/>
      </w:pPr>
      <w:r>
        <w:rPr>
          <w:color w:val="1A1A1A"/>
          <w:sz w:val="21"/>
          <w:szCs w:val="21"/>
        </w:rPr>
        <w:t xml:space="preserve">Rythme conseillé : une transition toutes les 5 à 10 secondes maximum. Ne jamais laisser un plan fixe silencieux de plus de 3 secondes — le jury regarde des dizaines de vidéos, la clarté et le rythme comptent autant que le contenu.</w:t>
      </w:r>
    </w:p>
    <w:p>
      <w:pPr>
        <w:pStyle w:val="Heading1"/>
        <w:pBdr>
          <w:bottom w:val="single" w:color="C99A2E" w:sz="6" w:space="4"/>
        </w:pBdr>
        <w:spacing w:after="180" w:before="360"/>
      </w:pPr>
      <w:r>
        <w:rPr>
          <w:b/>
          <w:bCs/>
          <w:color w:val="171D2C"/>
          <w:sz w:val="28"/>
          <w:szCs w:val="28"/>
        </w:rPr>
        <w:t xml:space="preserve">Découpage minute par minute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600"/>
        <w:gridCol w:w="4450"/>
      </w:tblGrid>
      <w:tr>
        <w:tc>
          <w:tcPr>
            <w:tcW w:type="dxa" w:w="1300"/>
            <w:shd w:fill="171D2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Temps</w:t>
            </w:r>
          </w:p>
        </w:tc>
        <w:tc>
          <w:tcPr>
            <w:tcW w:type="dxa" w:w="3600"/>
            <w:shd w:fill="171D2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Visuel à l'écran</w:t>
            </w:r>
          </w:p>
        </w:tc>
        <w:tc>
          <w:tcPr>
            <w:tcW w:type="dxa" w:w="4450"/>
            <w:shd w:fill="171D2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Voix-off (à dire ou sous-titrer)</w:t>
            </w:r>
          </w:p>
        </w:tc>
      </w:tr>
      <w:tr>
        <w:tc>
          <w:tcPr>
            <w:tcW w:type="dxa" w:w="1300"/>
            <w:shd w:fill="F2EBD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71D2C"/>
                <w:sz w:val="18"/>
                <w:szCs w:val="18"/>
              </w:rPr>
              <w:t xml:space="preserve">0:00–0:12</w:t>
            </w:r>
          </w:p>
        </w:tc>
        <w:tc>
          <w:tcPr>
            <w:tcW w:type="dxa" w:w="36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Écran noir puis apparition du logo « Bénin Vivant » sur fond indigo, bandeau doré animé. Cut sur la page d'accueil (hero avec la carte animée).</w:t>
            </w:r>
          </w:p>
        </w:tc>
        <w:tc>
          <w:tcPr>
            <w:tcW w:type="dxa" w:w="44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i/>
                <w:iCs/>
                <w:color w:val="1A1A1A"/>
                <w:sz w:val="18"/>
                <w:szCs w:val="18"/>
              </w:rPr>
              <w:t xml:space="preserve">« Le Bénin porte l'histoire de royaumes millénaires, de quarante ethnies, et d'un patrimoine que peu d'outils numériques racontent aujourd'hui. »</w:t>
            </w:r>
          </w:p>
        </w:tc>
      </w:tr>
      <w:tr>
        <w:tc>
          <w:tcPr>
            <w:tcW w:type="dxa" w:w="1300"/>
            <w:shd w:fill="F2EBD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71D2C"/>
                <w:sz w:val="18"/>
                <w:szCs w:val="18"/>
              </w:rPr>
              <w:t xml:space="preserve">0:12–0:25</w:t>
            </w:r>
          </w:p>
        </w:tc>
        <w:tc>
          <w:tcPr>
            <w:tcW w:type="dxa" w:w="36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Rester sur la page d'accueil, scroller lentement jusqu'au bandeau de chiffres clés puis la section mission.</w:t>
            </w:r>
          </w:p>
        </w:tc>
        <w:tc>
          <w:tcPr>
            <w:tcW w:type="dxa" w:w="44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i/>
                <w:iCs/>
                <w:color w:val="1A1A1A"/>
                <w:sz w:val="18"/>
                <w:szCs w:val="18"/>
              </w:rPr>
              <w:t xml:space="preserve">« Bénin Vivant : Racines et Diversité rassemble ce patrimoine en un seul espace numérique — pour le concours Digit'Héritage by Finanex, édition Indépendance du Bénin. »</w:t>
            </w:r>
          </w:p>
        </w:tc>
      </w:tr>
      <w:tr>
        <w:tc>
          <w:tcPr>
            <w:tcW w:type="dxa" w:w="1300"/>
            <w:shd w:fill="F2EBD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71D2C"/>
                <w:sz w:val="18"/>
                <w:szCs w:val="18"/>
              </w:rPr>
              <w:t xml:space="preserve">0:25–0:45</w:t>
            </w:r>
          </w:p>
        </w:tc>
        <w:tc>
          <w:tcPr>
            <w:tcW w:type="dxa" w:w="36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Ouvrir la page Encyclopédie, cliquer sur une fiche ethnie (ex : Fon), montrer le contenu défiler.</w:t>
            </w:r>
          </w:p>
        </w:tc>
        <w:tc>
          <w:tcPr>
            <w:tcW w:type="dxa" w:w="44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i/>
                <w:iCs/>
                <w:color w:val="1A1A1A"/>
                <w:sz w:val="18"/>
                <w:szCs w:val="18"/>
              </w:rPr>
              <w:t xml:space="preserve">« Une encyclopédie culturelle complète, ethnie par ethnie : histoire, religion, gastronomie, danses, tenues et objets d'art — validée par nos modérateurs. »</w:t>
            </w:r>
          </w:p>
        </w:tc>
      </w:tr>
      <w:tr>
        <w:tc>
          <w:tcPr>
            <w:tcW w:type="dxa" w:w="1300"/>
            <w:shd w:fill="F2EBD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71D2C"/>
                <w:sz w:val="18"/>
                <w:szCs w:val="18"/>
              </w:rPr>
              <w:t xml:space="preserve">0:45–1:05</w:t>
            </w:r>
          </w:p>
        </w:tc>
        <w:tc>
          <w:tcPr>
            <w:tcW w:type="dxa" w:w="36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Ouvrir la fiche d'un site historique (Palais d'Abomey), montrer la carte GPS interactive et les informations pratiques.</w:t>
            </w:r>
          </w:p>
        </w:tc>
        <w:tc>
          <w:tcPr>
            <w:tcW w:type="dxa" w:w="44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i/>
                <w:iCs/>
                <w:color w:val="1A1A1A"/>
                <w:sz w:val="18"/>
                <w:szCs w:val="18"/>
              </w:rPr>
              <w:t xml:space="preserve">« Chaque site historique est géolocalisé : distance, itinéraire en temps réel, durée de visite recommandée — comme les meilleures applications de voyage. »</w:t>
            </w:r>
          </w:p>
        </w:tc>
      </w:tr>
      <w:tr>
        <w:tc>
          <w:tcPr>
            <w:tcW w:type="dxa" w:w="1300"/>
            <w:shd w:fill="F2EBD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71D2C"/>
                <w:sz w:val="18"/>
                <w:szCs w:val="18"/>
              </w:rPr>
              <w:t xml:space="preserve">1:05–1:25</w:t>
            </w:r>
          </w:p>
        </w:tc>
        <w:tc>
          <w:tcPr>
            <w:tcW w:type="dxa" w:w="36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Enchaîner rapidement : carte des langues (clic sur une zone), page quiz (une question), page événements (liste + une fiche événement).</w:t>
            </w:r>
          </w:p>
        </w:tc>
        <w:tc>
          <w:tcPr>
            <w:tcW w:type="dxa" w:w="44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i/>
                <w:iCs/>
                <w:color w:val="1A1A1A"/>
                <w:sz w:val="18"/>
                <w:szCs w:val="18"/>
              </w:rPr>
              <w:t xml:space="preserve">« Carte des langues nationales avec prononciation audio, quiz gamifiés avec badges, et un calendrier des événements traditionnels pour ne rien manquer. »</w:t>
            </w:r>
          </w:p>
        </w:tc>
      </w:tr>
      <w:tr>
        <w:tc>
          <w:tcPr>
            <w:tcW w:type="dxa" w:w="1300"/>
            <w:shd w:fill="F2EBD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71D2C"/>
                <w:sz w:val="18"/>
                <w:szCs w:val="18"/>
              </w:rPr>
              <w:t xml:space="preserve">1:25–1:45</w:t>
            </w:r>
          </w:p>
        </w:tc>
        <w:tc>
          <w:tcPr>
            <w:tcW w:type="dxa" w:w="36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Montrer le formulaire de signalement (carte cliquable) puis la page des projets de sauvegarde avec la jauge de financement.</w:t>
            </w:r>
          </w:p>
        </w:tc>
        <w:tc>
          <w:tcPr>
            <w:tcW w:type="dxa" w:w="44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i/>
                <w:iCs/>
                <w:color w:val="1A1A1A"/>
                <w:sz w:val="18"/>
                <w:szCs w:val="18"/>
              </w:rPr>
              <w:t xml:space="preserve">« La communauté peut signaler un site menacé, et financer directement des projets de restauration via mobile money, en toute transparence. »</w:t>
            </w:r>
          </w:p>
        </w:tc>
      </w:tr>
      <w:tr>
        <w:tc>
          <w:tcPr>
            <w:tcW w:type="dxa" w:w="1300"/>
            <w:shd w:fill="F2EBD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71D2C"/>
                <w:sz w:val="18"/>
                <w:szCs w:val="18"/>
              </w:rPr>
              <w:t xml:space="preserve">1:45–2:05</w:t>
            </w:r>
          </w:p>
        </w:tc>
        <w:tc>
          <w:tcPr>
            <w:tcW w:type="dxa" w:w="36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Basculer sur le tableau de bord admin, puis la page de personnalisation super admin (changer une couleur en direct si possible).</w:t>
            </w:r>
          </w:p>
        </w:tc>
        <w:tc>
          <w:tcPr>
            <w:tcW w:type="dxa" w:w="44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i/>
                <w:iCs/>
                <w:color w:val="1A1A1A"/>
                <w:sz w:val="18"/>
                <w:szCs w:val="18"/>
              </w:rPr>
              <w:t xml:space="preserve">« Un panneau d'administration complet permet de modérer le contenu, gérer les comptes, et personnaliser entièrement l'identité visuelle du site — sans toucher au code. »</w:t>
            </w:r>
          </w:p>
        </w:tc>
      </w:tr>
      <w:tr>
        <w:tc>
          <w:tcPr>
            <w:tcW w:type="dxa" w:w="1300"/>
            <w:shd w:fill="F2EBD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71D2C"/>
                <w:sz w:val="18"/>
                <w:szCs w:val="18"/>
              </w:rPr>
              <w:t xml:space="preserve">2:05–2:20</w:t>
            </w:r>
          </w:p>
        </w:tc>
        <w:tc>
          <w:tcPr>
            <w:tcW w:type="dxa" w:w="36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Retour sur la frise historique de la page d'accueil (royaumes précoloniaux → indépendance 1960 → Bénin moderne).</w:t>
            </w:r>
          </w:p>
        </w:tc>
        <w:tc>
          <w:tcPr>
            <w:tcW w:type="dxa" w:w="44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i/>
                <w:iCs/>
                <w:color w:val="1A1A1A"/>
                <w:sz w:val="18"/>
                <w:szCs w:val="18"/>
              </w:rPr>
              <w:t xml:space="preserve">« Ce projet fait écho à l'indépendance elle-même : redonner aux Béninois les moyens numériques d'écrire et de transmettre leur propre histoire. »</w:t>
            </w:r>
          </w:p>
        </w:tc>
      </w:tr>
      <w:tr>
        <w:tc>
          <w:tcPr>
            <w:tcW w:type="dxa" w:w="1300"/>
            <w:shd w:fill="F2EBD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71D2C"/>
                <w:sz w:val="18"/>
                <w:szCs w:val="18"/>
              </w:rPr>
              <w:t xml:space="preserve">2:20–2:30</w:t>
            </w:r>
          </w:p>
        </w:tc>
        <w:tc>
          <w:tcPr>
            <w:tcW w:type="dxa" w:w="36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Retour logo « Bénin Vivant » sur fond indigo, texte à l'écran : nom du projet + « Digit'Héritage by Finanex 2026 ».</w:t>
            </w:r>
          </w:p>
        </w:tc>
        <w:tc>
          <w:tcPr>
            <w:tcW w:type="dxa" w:w="44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i/>
                <w:iCs/>
                <w:color w:val="1A1A1A"/>
                <w:sz w:val="18"/>
                <w:szCs w:val="18"/>
              </w:rPr>
              <w:t xml:space="preserve">« Bénin Vivant : Racines et Diversité. Merci. »</w:t>
            </w:r>
          </w:p>
        </w:tc>
      </w:tr>
    </w:tbl>
    <w:p>
      <w:pPr>
        <w:spacing w:before="300"/>
      </w:pPr>
    </w:p>
    <w:p>
      <w:pPr>
        <w:pStyle w:val="Heading1"/>
        <w:pBdr>
          <w:bottom w:val="single" w:color="C99A2E" w:sz="6" w:space="4"/>
        </w:pBdr>
        <w:spacing w:after="180" w:before="360"/>
      </w:pPr>
      <w:r>
        <w:rPr>
          <w:b/>
          <w:bCs/>
          <w:color w:val="171D2C"/>
          <w:sz w:val="28"/>
          <w:szCs w:val="28"/>
        </w:rPr>
        <w:t xml:space="preserve">Checklist avant l'envoi</w:t>
      </w:r>
    </w:p>
    <w:p>
      <w:pPr>
        <w:spacing w:after="140" w:line="300"/>
      </w:pPr>
      <w:r>
        <w:rPr>
          <w:color w:val="1A1A1A"/>
          <w:sz w:val="21"/>
          <w:szCs w:val="21"/>
        </w:rPr>
        <w:t xml:space="preserve">☐ Durée totale entre 2 et 3 minutes (ne pas dépasser, le règlement du concours le précise).</w:t>
      </w:r>
    </w:p>
    <w:p>
      <w:pPr>
        <w:spacing w:after="140" w:line="300"/>
      </w:pPr>
      <w:r>
        <w:rPr>
          <w:color w:val="1A1A1A"/>
          <w:sz w:val="21"/>
          <w:szCs w:val="21"/>
        </w:rPr>
        <w:t xml:space="preserve">☐ Le parcours GPS (géolocalisation) apparaît clairement à l'écran, comme demandé dans les livrables du cahier des charges.</w:t>
      </w:r>
    </w:p>
    <w:p>
      <w:pPr>
        <w:spacing w:after="140" w:line="300"/>
      </w:pPr>
      <w:r>
        <w:rPr>
          <w:color w:val="1A1A1A"/>
          <w:sz w:val="21"/>
          <w:szCs w:val="21"/>
        </w:rPr>
        <w:t xml:space="preserve">☐ Son audible et net, pas de musique de fond qui couvre la voix-off.</w:t>
      </w:r>
    </w:p>
    <w:p>
      <w:pPr>
        <w:spacing w:after="140" w:line="300"/>
      </w:pPr>
      <w:r>
        <w:rPr>
          <w:color w:val="1A1A1A"/>
          <w:sz w:val="21"/>
          <w:szCs w:val="21"/>
        </w:rPr>
        <w:t xml:space="preserve">☐ Export en .mp4, résolution 1080p minimum.</w:t>
      </w:r>
    </w:p>
    <w:p>
      <w:pPr>
        <w:spacing w:after="140" w:line="300"/>
      </w:pPr>
      <w:r>
        <w:rPr>
          <w:color w:val="1A1A1A"/>
          <w:sz w:val="21"/>
          <w:szCs w:val="21"/>
        </w:rPr>
        <w:t xml:space="preserve">☐ Nom de fichier clair : Benin_Vivant_Video_Presentation.mp4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2026-07-25T06:35:11.648Z</dcterms:created>
  <dcterms:modified xsi:type="dcterms:W3CDTF">2026-07-25T06:35:11.648Z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