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0A4A" w:rsidRPr="00267B84" w:rsidRDefault="00B50A4A" w:rsidP="00267B84">
      <w:pPr>
        <w:spacing w:after="480" w:line="360" w:lineRule="exact"/>
        <w:jc w:val="center"/>
        <w:rPr>
          <w:rFonts w:ascii="Arial" w:hAnsi="Arial" w:cs="Arial"/>
          <w:sz w:val="24"/>
          <w:szCs w:val="24"/>
          <w:lang w:val="fr-CA"/>
        </w:rPr>
      </w:pPr>
      <w:r w:rsidRPr="00267B84">
        <w:rPr>
          <w:rFonts w:ascii="Arial" w:hAnsi="Arial" w:cs="Arial"/>
          <w:b/>
          <w:bCs/>
          <w:sz w:val="24"/>
          <w:szCs w:val="24"/>
          <w:lang w:val="fr-CA"/>
        </w:rPr>
        <w:t>RÉSUMÉ : MOSZKOWSKI c. DEEPGULF — RÉCIT CHRONOLOGIQUE</w:t>
      </w:r>
    </w:p>
    <w:p w:rsidR="00B50A4A" w:rsidRPr="00936184" w:rsidRDefault="00B50A4A" w:rsidP="00267B84">
      <w:pPr>
        <w:spacing w:line="360" w:lineRule="exact"/>
        <w:jc w:val="both"/>
        <w:rPr>
          <w:rFonts w:ascii="Arial" w:hAnsi="Arial" w:cs="Arial"/>
          <w:sz w:val="24"/>
          <w:szCs w:val="24"/>
          <w:lang w:val="fr-CA"/>
        </w:rPr>
      </w:pPr>
      <w:r w:rsidRPr="00267B84">
        <w:rPr>
          <w:rFonts w:ascii="Arial" w:hAnsi="Arial" w:cs="Arial"/>
          <w:sz w:val="24"/>
          <w:szCs w:val="24"/>
          <w:lang w:val="fr-CA"/>
        </w:rPr>
        <w:t>En 2004, Marc Moszkowski, ingénieur maritime français titulaire de brevets</w:t>
      </w:r>
      <w:r w:rsidR="00CE491B" w:rsidRPr="00267B84">
        <w:rPr>
          <w:rFonts w:ascii="Arial" w:hAnsi="Arial" w:cs="Arial"/>
          <w:sz w:val="24"/>
          <w:szCs w:val="24"/>
          <w:lang w:val="fr-CA"/>
        </w:rPr>
        <w:t xml:space="preserve"> d'invention</w:t>
      </w:r>
      <w:r w:rsidRPr="00267B84">
        <w:rPr>
          <w:rFonts w:ascii="Arial" w:hAnsi="Arial" w:cs="Arial"/>
          <w:sz w:val="24"/>
          <w:szCs w:val="24"/>
          <w:lang w:val="fr-CA"/>
        </w:rPr>
        <w:t xml:space="preserve">, basé à Houston, fonda DeepGulf, Inc. avec Rustin Howard. Moszkowski détient plus de 46 % des parts, occupait le poste de </w:t>
      </w:r>
      <w:r w:rsidR="00936184">
        <w:rPr>
          <w:rFonts w:ascii="Arial" w:hAnsi="Arial" w:cs="Arial"/>
          <w:sz w:val="24"/>
          <w:szCs w:val="24"/>
          <w:lang w:val="fr-CA"/>
        </w:rPr>
        <w:t>d</w:t>
      </w:r>
      <w:r w:rsidR="00210DDD">
        <w:rPr>
          <w:rFonts w:ascii="Arial" w:hAnsi="Arial" w:cs="Arial"/>
          <w:sz w:val="24"/>
          <w:szCs w:val="24"/>
          <w:lang w:val="fr-CA"/>
        </w:rPr>
        <w:t>irecteur-</w:t>
      </w:r>
      <w:r w:rsidR="00936184">
        <w:rPr>
          <w:rFonts w:ascii="Arial" w:hAnsi="Arial" w:cs="Arial"/>
          <w:sz w:val="24"/>
          <w:szCs w:val="24"/>
          <w:lang w:val="fr-CA"/>
        </w:rPr>
        <w:t>g</w:t>
      </w:r>
      <w:r w:rsidR="00210DDD">
        <w:rPr>
          <w:rFonts w:ascii="Arial" w:hAnsi="Arial" w:cs="Arial"/>
          <w:sz w:val="24"/>
          <w:szCs w:val="24"/>
          <w:lang w:val="fr-CA"/>
        </w:rPr>
        <w:t>énéral</w:t>
      </w:r>
      <w:r w:rsidRPr="00267B84">
        <w:rPr>
          <w:rFonts w:ascii="Arial" w:hAnsi="Arial" w:cs="Arial"/>
          <w:sz w:val="24"/>
          <w:szCs w:val="24"/>
          <w:lang w:val="fr-CA"/>
        </w:rPr>
        <w:t xml:space="preserve"> et était responsable de l’ensemble du développement technique et commercial. </w:t>
      </w:r>
      <w:r w:rsidR="00936184" w:rsidRPr="00936184">
        <w:rPr>
          <w:rFonts w:ascii="Arial" w:hAnsi="Arial" w:cs="Arial"/>
          <w:sz w:val="24"/>
          <w:szCs w:val="24"/>
          <w:lang w:val="fr-CA"/>
        </w:rPr>
        <w:t>Howard exerçait les fonctions de président du conseil d’administration et était chargé de la levée de fonds ainsi que du parrainage en matière d’immigration.</w:t>
      </w:r>
    </w:p>
    <w:p w:rsidR="00B50A4A" w:rsidRPr="00267B84" w:rsidRDefault="00404667" w:rsidP="00267B84">
      <w:pPr>
        <w:spacing w:line="360" w:lineRule="exact"/>
        <w:jc w:val="both"/>
        <w:rPr>
          <w:rFonts w:ascii="Arial" w:hAnsi="Arial" w:cs="Arial"/>
          <w:sz w:val="24"/>
          <w:szCs w:val="24"/>
          <w:lang w:val="fr-CA"/>
        </w:rPr>
      </w:pPr>
      <w:r w:rsidRPr="00267B84">
        <w:rPr>
          <w:rFonts w:ascii="Arial" w:hAnsi="Arial" w:cs="Arial"/>
          <w:sz w:val="24"/>
          <w:szCs w:val="24"/>
          <w:lang w:val="fr-CA"/>
        </w:rPr>
        <w:t>Durant les trois premières années, Howard ne leva aucun capital. Moszkowski ne perçut aucun salaire, malgré la garantie personnelle de Howard d’un montant de 120</w:t>
      </w:r>
      <w:r w:rsidR="00AF7A94">
        <w:rPr>
          <w:rFonts w:ascii="Arial" w:hAnsi="Arial" w:cs="Arial"/>
          <w:sz w:val="24"/>
          <w:szCs w:val="24"/>
          <w:lang w:val="fr-CA"/>
        </w:rPr>
        <w:t> </w:t>
      </w:r>
      <w:r w:rsidRPr="00267B84">
        <w:rPr>
          <w:rFonts w:ascii="Arial" w:hAnsi="Arial" w:cs="Arial"/>
          <w:sz w:val="24"/>
          <w:szCs w:val="24"/>
          <w:lang w:val="fr-CA"/>
        </w:rPr>
        <w:t xml:space="preserve">000 </w:t>
      </w:r>
      <w:r w:rsidR="008B79FB" w:rsidRPr="00267B84">
        <w:rPr>
          <w:rFonts w:ascii="Arial" w:hAnsi="Arial" w:cs="Arial"/>
          <w:sz w:val="24"/>
          <w:szCs w:val="24"/>
          <w:lang w:val="fr-CA"/>
        </w:rPr>
        <w:t>dollars</w:t>
      </w:r>
      <w:r w:rsidRPr="00267B84">
        <w:rPr>
          <w:rFonts w:ascii="Arial" w:hAnsi="Arial" w:cs="Arial"/>
          <w:sz w:val="24"/>
          <w:szCs w:val="24"/>
          <w:lang w:val="fr-CA"/>
        </w:rPr>
        <w:t xml:space="preserve"> par an auprès du </w:t>
      </w:r>
      <w:proofErr w:type="spellStart"/>
      <w:r w:rsidRPr="00267B84">
        <w:rPr>
          <w:rFonts w:ascii="Arial" w:hAnsi="Arial" w:cs="Arial"/>
          <w:sz w:val="24"/>
          <w:szCs w:val="24"/>
          <w:lang w:val="fr-CA"/>
        </w:rPr>
        <w:t>Department</w:t>
      </w:r>
      <w:proofErr w:type="spellEnd"/>
      <w:r w:rsidRPr="00267B84">
        <w:rPr>
          <w:rFonts w:ascii="Arial" w:hAnsi="Arial" w:cs="Arial"/>
          <w:sz w:val="24"/>
          <w:szCs w:val="24"/>
          <w:lang w:val="fr-CA"/>
        </w:rPr>
        <w:t xml:space="preserve"> of Homeland Security (</w:t>
      </w:r>
      <w:proofErr w:type="spellStart"/>
      <w:r w:rsidRPr="00267B84">
        <w:rPr>
          <w:rFonts w:ascii="Arial" w:hAnsi="Arial" w:cs="Arial"/>
          <w:sz w:val="24"/>
          <w:szCs w:val="24"/>
          <w:lang w:val="fr-CA"/>
        </w:rPr>
        <w:t>DHS</w:t>
      </w:r>
      <w:proofErr w:type="spellEnd"/>
      <w:r w:rsidRPr="00267B84">
        <w:rPr>
          <w:rFonts w:ascii="Arial" w:hAnsi="Arial" w:cs="Arial"/>
          <w:sz w:val="24"/>
          <w:szCs w:val="24"/>
          <w:lang w:val="fr-CA"/>
        </w:rPr>
        <w:t>) dans le cadre du visa H-</w:t>
      </w:r>
      <w:proofErr w:type="spellStart"/>
      <w:r w:rsidRPr="00267B84">
        <w:rPr>
          <w:rFonts w:ascii="Arial" w:hAnsi="Arial" w:cs="Arial"/>
          <w:sz w:val="24"/>
          <w:szCs w:val="24"/>
          <w:lang w:val="fr-CA"/>
        </w:rPr>
        <w:t>1B</w:t>
      </w:r>
      <w:proofErr w:type="spellEnd"/>
      <w:r w:rsidRPr="00267B84">
        <w:rPr>
          <w:rFonts w:ascii="Arial" w:hAnsi="Arial" w:cs="Arial"/>
          <w:sz w:val="24"/>
          <w:szCs w:val="24"/>
          <w:lang w:val="fr-CA"/>
        </w:rPr>
        <w:t>. Les fonds ultérieurement levés furent affectés aux dépenses de fonctionnement de Howard, et non aux activités de Moszkowski ni au développement des projets</w:t>
      </w:r>
      <w:r w:rsidR="00352C8C" w:rsidRPr="00267B84">
        <w:rPr>
          <w:rFonts w:ascii="Arial" w:hAnsi="Arial" w:cs="Arial"/>
          <w:sz w:val="24"/>
          <w:szCs w:val="24"/>
          <w:lang w:val="fr-CA"/>
        </w:rPr>
        <w:t xml:space="preserve">. La phase de développement fut financée par les revenus personnels de consultance de Moszkowski, pour un total d’environ 225 000 </w:t>
      </w:r>
      <w:r w:rsidR="008B79FB" w:rsidRPr="00267B84">
        <w:rPr>
          <w:rFonts w:ascii="Arial" w:hAnsi="Arial" w:cs="Arial"/>
          <w:sz w:val="24"/>
          <w:szCs w:val="24"/>
          <w:lang w:val="fr-CA"/>
        </w:rPr>
        <w:t>dollars</w:t>
      </w:r>
      <w:r w:rsidR="00352C8C" w:rsidRPr="00267B84">
        <w:rPr>
          <w:rFonts w:ascii="Arial" w:hAnsi="Arial" w:cs="Arial"/>
          <w:sz w:val="24"/>
          <w:szCs w:val="24"/>
          <w:lang w:val="fr-CA"/>
        </w:rPr>
        <w:t>, tandis que l’exécution des projets fut assurée au moyen des flux de trésorerie générés par l’entité opérationnelle timoraise.</w:t>
      </w:r>
    </w:p>
    <w:p w:rsidR="00B50A4A" w:rsidRPr="00267B84" w:rsidRDefault="00B50A4A" w:rsidP="00267B84">
      <w:pPr>
        <w:spacing w:line="360" w:lineRule="exact"/>
        <w:jc w:val="both"/>
        <w:rPr>
          <w:rFonts w:ascii="Arial" w:hAnsi="Arial" w:cs="Arial"/>
          <w:sz w:val="24"/>
          <w:szCs w:val="24"/>
          <w:lang w:val="fr-CA"/>
        </w:rPr>
      </w:pPr>
      <w:r w:rsidRPr="00267B84">
        <w:rPr>
          <w:rFonts w:ascii="Arial" w:hAnsi="Arial" w:cs="Arial"/>
          <w:sz w:val="24"/>
          <w:szCs w:val="24"/>
          <w:lang w:val="fr-CA"/>
        </w:rPr>
        <w:t xml:space="preserve">En 2007, Moszkowski développa une opportunité majeure liée à un pipeline </w:t>
      </w:r>
      <w:r w:rsidR="0015675C" w:rsidRPr="00267B84">
        <w:rPr>
          <w:rFonts w:ascii="Arial" w:hAnsi="Arial" w:cs="Arial"/>
          <w:sz w:val="24"/>
          <w:szCs w:val="24"/>
          <w:lang w:val="fr-CA"/>
        </w:rPr>
        <w:t>sous-marin</w:t>
      </w:r>
      <w:r w:rsidRPr="00267B84">
        <w:rPr>
          <w:rFonts w:ascii="Arial" w:hAnsi="Arial" w:cs="Arial"/>
          <w:sz w:val="24"/>
          <w:szCs w:val="24"/>
          <w:lang w:val="fr-CA"/>
        </w:rPr>
        <w:t xml:space="preserve"> à Timor oriental, se déplaçant à ses propres frais. Il obtint des réunions avec le président, le premier ministre et de hauts responsables gouvernementaux de la République. Trois contrats suivirent, totalisant 14,9 millions de dollars, exécutés entre 2008 et 2012</w:t>
      </w:r>
      <w:r w:rsidR="00CD5F13">
        <w:rPr>
          <w:rFonts w:ascii="Arial" w:hAnsi="Arial" w:cs="Arial"/>
          <w:sz w:val="24"/>
          <w:szCs w:val="24"/>
          <w:lang w:val="fr-CA"/>
        </w:rPr>
        <w:t>,</w:t>
      </w:r>
      <w:r w:rsidR="0078290C" w:rsidRPr="00267B84">
        <w:rPr>
          <w:rFonts w:ascii="Arial" w:hAnsi="Arial" w:cs="Arial"/>
          <w:sz w:val="24"/>
          <w:szCs w:val="24"/>
          <w:lang w:val="fr-CA"/>
        </w:rPr>
        <w:t xml:space="preserve"> tous </w:t>
      </w:r>
      <w:r w:rsidRPr="00267B84">
        <w:rPr>
          <w:rFonts w:ascii="Arial" w:hAnsi="Arial" w:cs="Arial"/>
          <w:sz w:val="24"/>
          <w:szCs w:val="24"/>
          <w:lang w:val="fr-CA"/>
        </w:rPr>
        <w:t xml:space="preserve">menés à bien sans intervention de Howard. Moszkowski perçut son premier salaire en 2008, </w:t>
      </w:r>
      <w:r w:rsidR="0015675C" w:rsidRPr="00267B84">
        <w:rPr>
          <w:rFonts w:ascii="Arial" w:hAnsi="Arial" w:cs="Arial"/>
          <w:sz w:val="24"/>
          <w:szCs w:val="24"/>
          <w:lang w:val="fr-CA"/>
        </w:rPr>
        <w:t>puis</w:t>
      </w:r>
      <w:r w:rsidRPr="00267B84">
        <w:rPr>
          <w:rFonts w:ascii="Arial" w:hAnsi="Arial" w:cs="Arial"/>
          <w:sz w:val="24"/>
          <w:szCs w:val="24"/>
          <w:lang w:val="fr-CA"/>
        </w:rPr>
        <w:t xml:space="preserve"> ceux-ci furent interrompus en 2012 malgré la garantie de Howard auprès du </w:t>
      </w:r>
      <w:proofErr w:type="spellStart"/>
      <w:r w:rsidRPr="00267B84">
        <w:rPr>
          <w:rFonts w:ascii="Arial" w:hAnsi="Arial" w:cs="Arial"/>
          <w:sz w:val="24"/>
          <w:szCs w:val="24"/>
          <w:lang w:val="fr-CA"/>
        </w:rPr>
        <w:t>DHS</w:t>
      </w:r>
      <w:proofErr w:type="spellEnd"/>
      <w:r w:rsidRPr="00267B84">
        <w:rPr>
          <w:rFonts w:ascii="Arial" w:hAnsi="Arial" w:cs="Arial"/>
          <w:sz w:val="24"/>
          <w:szCs w:val="24"/>
          <w:lang w:val="fr-CA"/>
        </w:rPr>
        <w:t>. Les opérations exigeaient que Moszkowski travaill</w:t>
      </w:r>
      <w:r w:rsidR="0078290C" w:rsidRPr="00267B84">
        <w:rPr>
          <w:rFonts w:ascii="Arial" w:hAnsi="Arial" w:cs="Arial"/>
          <w:sz w:val="24"/>
          <w:szCs w:val="24"/>
          <w:lang w:val="fr-CA"/>
        </w:rPr>
        <w:t>ât</w:t>
      </w:r>
      <w:r w:rsidRPr="00267B84">
        <w:rPr>
          <w:rFonts w:ascii="Arial" w:hAnsi="Arial" w:cs="Arial"/>
          <w:sz w:val="24"/>
          <w:szCs w:val="24"/>
          <w:lang w:val="fr-CA"/>
        </w:rPr>
        <w:t xml:space="preserve"> dans des endroits </w:t>
      </w:r>
      <w:r w:rsidR="0015675C" w:rsidRPr="00267B84">
        <w:rPr>
          <w:rFonts w:ascii="Arial" w:hAnsi="Arial" w:cs="Arial"/>
          <w:sz w:val="24"/>
          <w:szCs w:val="24"/>
          <w:lang w:val="fr-CA"/>
        </w:rPr>
        <w:t xml:space="preserve">très </w:t>
      </w:r>
      <w:r w:rsidRPr="00267B84">
        <w:rPr>
          <w:rFonts w:ascii="Arial" w:hAnsi="Arial" w:cs="Arial"/>
          <w:sz w:val="24"/>
          <w:szCs w:val="24"/>
          <w:lang w:val="fr-CA"/>
        </w:rPr>
        <w:t xml:space="preserve">reculés </w:t>
      </w:r>
      <w:r w:rsidR="0015675C" w:rsidRPr="00267B84">
        <w:rPr>
          <w:rFonts w:ascii="Arial" w:hAnsi="Arial" w:cs="Arial"/>
          <w:sz w:val="24"/>
          <w:szCs w:val="24"/>
          <w:lang w:val="fr-CA"/>
        </w:rPr>
        <w:t>dénués de sécurité</w:t>
      </w:r>
      <w:r w:rsidRPr="00267B84">
        <w:rPr>
          <w:rFonts w:ascii="Arial" w:hAnsi="Arial" w:cs="Arial"/>
          <w:sz w:val="24"/>
          <w:szCs w:val="24"/>
          <w:lang w:val="fr-CA"/>
        </w:rPr>
        <w:t xml:space="preserve"> ; il subit des blessures dues à des inondations, à l’effondrement d’une route, à une agression violente et à un échouement de dix-huit jours d’un navire sur un récif corallien. En 2011, il contracta </w:t>
      </w:r>
      <w:r w:rsidR="0015675C" w:rsidRPr="00267B84">
        <w:rPr>
          <w:rFonts w:ascii="Arial" w:hAnsi="Arial" w:cs="Arial"/>
          <w:sz w:val="24"/>
          <w:szCs w:val="24"/>
          <w:lang w:val="fr-CA"/>
        </w:rPr>
        <w:t>une forme sévère de paludisme de Papouasie–Nouvelle-Guinée</w:t>
      </w:r>
      <w:r w:rsidRPr="00267B84">
        <w:rPr>
          <w:rFonts w:ascii="Arial" w:hAnsi="Arial" w:cs="Arial"/>
          <w:sz w:val="24"/>
          <w:szCs w:val="24"/>
          <w:lang w:val="fr-CA"/>
        </w:rPr>
        <w:t xml:space="preserve"> et </w:t>
      </w:r>
      <w:r w:rsidR="0015675C" w:rsidRPr="00267B84">
        <w:rPr>
          <w:rFonts w:ascii="Arial" w:hAnsi="Arial" w:cs="Arial"/>
          <w:sz w:val="24"/>
          <w:szCs w:val="24"/>
          <w:lang w:val="fr-CA"/>
        </w:rPr>
        <w:t>fut</w:t>
      </w:r>
      <w:r w:rsidRPr="00267B84">
        <w:rPr>
          <w:rFonts w:ascii="Arial" w:hAnsi="Arial" w:cs="Arial"/>
          <w:sz w:val="24"/>
          <w:szCs w:val="24"/>
          <w:lang w:val="fr-CA"/>
        </w:rPr>
        <w:t xml:space="preserve"> hospitalisé dans un état critique.</w:t>
      </w:r>
    </w:p>
    <w:p w:rsidR="00B50A4A" w:rsidRPr="00267B84" w:rsidRDefault="00AA11E4" w:rsidP="00267B84">
      <w:pPr>
        <w:spacing w:line="360" w:lineRule="exact"/>
        <w:jc w:val="both"/>
        <w:rPr>
          <w:rFonts w:ascii="Arial" w:hAnsi="Arial" w:cs="Arial"/>
          <w:sz w:val="24"/>
          <w:szCs w:val="24"/>
          <w:lang w:val="fr-CA"/>
        </w:rPr>
      </w:pPr>
      <w:r w:rsidRPr="00AA11E4">
        <w:rPr>
          <w:rFonts w:ascii="Arial" w:hAnsi="Arial" w:cs="Arial"/>
          <w:sz w:val="24"/>
          <w:szCs w:val="24"/>
          <w:lang w:val="fr-CA"/>
        </w:rPr>
        <w:t>Grâce à une structure de partage des bénéfices négociée dans le cadre de ces opérations, DeepGulf reçut 50,3 % des bénéfices provenant de la participation de 33 % de Moszkowski dans l’entité opérationnelle timoraise, tandis que les fondateurs timorais, détenant 67 % de cette entité, en reçurent 49,7 %.</w:t>
      </w:r>
    </w:p>
    <w:p w:rsidR="00881504" w:rsidRDefault="00881504" w:rsidP="00267B84">
      <w:pPr>
        <w:spacing w:line="360" w:lineRule="exact"/>
        <w:jc w:val="both"/>
        <w:rPr>
          <w:rFonts w:ascii="Arial" w:hAnsi="Arial" w:cs="Arial"/>
          <w:sz w:val="24"/>
          <w:szCs w:val="24"/>
          <w:lang w:val="fr-CA"/>
        </w:rPr>
      </w:pPr>
      <w:r w:rsidRPr="00267B84">
        <w:rPr>
          <w:rFonts w:ascii="Arial" w:hAnsi="Arial" w:cs="Arial"/>
          <w:sz w:val="24"/>
          <w:szCs w:val="24"/>
          <w:lang w:val="fr-CA"/>
        </w:rPr>
        <w:t xml:space="preserve">Toutefois, DeepGulf revendiqua </w:t>
      </w:r>
      <w:r w:rsidR="009F1E65" w:rsidRPr="00267B84">
        <w:rPr>
          <w:rFonts w:ascii="Arial" w:hAnsi="Arial" w:cs="Arial"/>
          <w:sz w:val="24"/>
          <w:szCs w:val="24"/>
          <w:lang w:val="fr-CA"/>
        </w:rPr>
        <w:t>en 2018</w:t>
      </w:r>
      <w:r w:rsidR="004640C8" w:rsidRPr="00267B84">
        <w:rPr>
          <w:rFonts w:ascii="Arial" w:hAnsi="Arial" w:cs="Arial"/>
          <w:sz w:val="24"/>
          <w:szCs w:val="24"/>
          <w:lang w:val="fr-CA"/>
        </w:rPr>
        <w:t xml:space="preserve"> </w:t>
      </w:r>
      <w:r w:rsidRPr="00267B84">
        <w:rPr>
          <w:rFonts w:ascii="Arial" w:hAnsi="Arial" w:cs="Arial"/>
          <w:sz w:val="24"/>
          <w:szCs w:val="24"/>
          <w:lang w:val="fr-CA"/>
        </w:rPr>
        <w:t>le droit à 100 % des bénéfices de l’entité opérationnelle timoraise pour la période de 2008 à 2012, arguant d’un droit rétroactif à 2</w:t>
      </w:r>
      <w:r w:rsidR="00ED1926" w:rsidRPr="00267B84">
        <w:rPr>
          <w:rFonts w:ascii="Arial" w:hAnsi="Arial" w:cs="Arial"/>
          <w:sz w:val="24"/>
          <w:szCs w:val="24"/>
          <w:lang w:val="fr-CA"/>
        </w:rPr>
        <w:t> </w:t>
      </w:r>
      <w:r w:rsidRPr="00267B84">
        <w:rPr>
          <w:rFonts w:ascii="Arial" w:hAnsi="Arial" w:cs="Arial"/>
          <w:sz w:val="24"/>
          <w:szCs w:val="24"/>
          <w:lang w:val="fr-CA"/>
        </w:rPr>
        <w:t>622</w:t>
      </w:r>
      <w:r w:rsidR="00ED1926" w:rsidRPr="00267B84">
        <w:rPr>
          <w:rFonts w:ascii="Arial" w:hAnsi="Arial" w:cs="Arial"/>
          <w:sz w:val="24"/>
          <w:szCs w:val="24"/>
          <w:lang w:val="fr-CA"/>
        </w:rPr>
        <w:t> </w:t>
      </w:r>
      <w:r w:rsidRPr="00267B84">
        <w:rPr>
          <w:rFonts w:ascii="Arial" w:hAnsi="Arial" w:cs="Arial"/>
          <w:sz w:val="24"/>
          <w:szCs w:val="24"/>
          <w:lang w:val="fr-CA"/>
        </w:rPr>
        <w:t>933,67</w:t>
      </w:r>
      <w:r w:rsidR="00ED1926" w:rsidRPr="00267B84">
        <w:rPr>
          <w:rFonts w:ascii="Arial" w:hAnsi="Arial" w:cs="Arial"/>
          <w:sz w:val="24"/>
          <w:szCs w:val="24"/>
          <w:lang w:val="fr-CA"/>
        </w:rPr>
        <w:t> </w:t>
      </w:r>
      <w:r w:rsidR="008B79FB" w:rsidRPr="00267B84">
        <w:rPr>
          <w:rFonts w:ascii="Arial" w:hAnsi="Arial" w:cs="Arial"/>
          <w:sz w:val="24"/>
          <w:szCs w:val="24"/>
          <w:lang w:val="fr-CA"/>
        </w:rPr>
        <w:t>dollars</w:t>
      </w:r>
      <w:r w:rsidRPr="00267B84">
        <w:rPr>
          <w:rFonts w:ascii="Arial" w:hAnsi="Arial" w:cs="Arial"/>
          <w:sz w:val="24"/>
          <w:szCs w:val="24"/>
          <w:lang w:val="fr-CA"/>
        </w:rPr>
        <w:t xml:space="preserve"> sur la base de son acquisition de cette entité pour </w:t>
      </w:r>
      <w:r w:rsidRPr="00267B84">
        <w:rPr>
          <w:rFonts w:ascii="Arial" w:hAnsi="Arial" w:cs="Arial"/>
          <w:sz w:val="24"/>
          <w:szCs w:val="24"/>
          <w:lang w:val="fr-CA"/>
        </w:rPr>
        <w:lastRenderedPageBreak/>
        <w:t>100</w:t>
      </w:r>
      <w:r w:rsidR="00ED1926" w:rsidRPr="00267B84">
        <w:rPr>
          <w:rFonts w:ascii="Arial" w:hAnsi="Arial" w:cs="Arial"/>
          <w:sz w:val="24"/>
          <w:szCs w:val="24"/>
          <w:lang w:val="fr-CA"/>
        </w:rPr>
        <w:t> </w:t>
      </w:r>
      <w:r w:rsidRPr="00267B84">
        <w:rPr>
          <w:rFonts w:ascii="Arial" w:hAnsi="Arial" w:cs="Arial"/>
          <w:sz w:val="24"/>
          <w:szCs w:val="24"/>
          <w:lang w:val="fr-CA"/>
        </w:rPr>
        <w:t>00</w:t>
      </w:r>
      <w:r w:rsidR="00ED1926" w:rsidRPr="00267B84">
        <w:rPr>
          <w:rFonts w:ascii="Arial" w:hAnsi="Arial" w:cs="Arial"/>
          <w:sz w:val="24"/>
          <w:szCs w:val="24"/>
          <w:lang w:val="fr-CA"/>
        </w:rPr>
        <w:t>1 </w:t>
      </w:r>
      <w:r w:rsidR="008B79FB" w:rsidRPr="00267B84">
        <w:rPr>
          <w:rFonts w:ascii="Arial" w:hAnsi="Arial" w:cs="Arial"/>
          <w:sz w:val="24"/>
          <w:szCs w:val="24"/>
          <w:lang w:val="fr-CA"/>
        </w:rPr>
        <w:t>dollars</w:t>
      </w:r>
      <w:r w:rsidRPr="00267B84">
        <w:rPr>
          <w:rFonts w:ascii="Arial" w:hAnsi="Arial" w:cs="Arial"/>
          <w:sz w:val="24"/>
          <w:szCs w:val="24"/>
          <w:lang w:val="fr-CA"/>
        </w:rPr>
        <w:t xml:space="preserve"> </w:t>
      </w:r>
      <w:r w:rsidR="00B22764" w:rsidRPr="00267B84">
        <w:rPr>
          <w:rFonts w:ascii="Arial" w:hAnsi="Arial" w:cs="Arial"/>
          <w:sz w:val="24"/>
          <w:szCs w:val="24"/>
          <w:lang w:val="fr-CA"/>
        </w:rPr>
        <w:t xml:space="preserve">en </w:t>
      </w:r>
      <w:r w:rsidR="00ED1926" w:rsidRPr="00267B84">
        <w:rPr>
          <w:rFonts w:ascii="Arial" w:hAnsi="Arial" w:cs="Arial"/>
          <w:sz w:val="24"/>
          <w:szCs w:val="24"/>
          <w:lang w:val="fr-CA"/>
        </w:rPr>
        <w:t>décembre</w:t>
      </w:r>
      <w:r w:rsidRPr="00267B84">
        <w:rPr>
          <w:rFonts w:ascii="Arial" w:hAnsi="Arial" w:cs="Arial"/>
          <w:sz w:val="24"/>
          <w:szCs w:val="24"/>
          <w:lang w:val="fr-CA"/>
        </w:rPr>
        <w:t xml:space="preserve"> 2012. </w:t>
      </w:r>
      <w:r w:rsidR="002834C1" w:rsidRPr="002834C1">
        <w:rPr>
          <w:rFonts w:ascii="Arial" w:hAnsi="Arial" w:cs="Arial"/>
          <w:sz w:val="24"/>
          <w:szCs w:val="24"/>
          <w:lang w:val="fr-CA"/>
        </w:rPr>
        <w:t>Cette position englobait notamment l’ensemble des sommes versées aux fondateurs timorais</w:t>
      </w:r>
      <w:r w:rsidR="002834C1">
        <w:rPr>
          <w:rFonts w:ascii="Arial" w:hAnsi="Arial" w:cs="Arial"/>
          <w:sz w:val="24"/>
          <w:szCs w:val="24"/>
          <w:lang w:val="fr-CA"/>
        </w:rPr>
        <w:t>,</w:t>
      </w:r>
      <w:r w:rsidR="002834C1" w:rsidRPr="002834C1">
        <w:rPr>
          <w:rFonts w:ascii="Arial" w:hAnsi="Arial" w:cs="Arial"/>
          <w:sz w:val="24"/>
          <w:szCs w:val="24"/>
          <w:lang w:val="fr-CA"/>
        </w:rPr>
        <w:t xml:space="preserve"> à DeepGulf</w:t>
      </w:r>
      <w:r w:rsidR="002834C1">
        <w:rPr>
          <w:rFonts w:ascii="Arial" w:hAnsi="Arial" w:cs="Arial"/>
          <w:sz w:val="24"/>
          <w:szCs w:val="24"/>
          <w:lang w:val="fr-CA"/>
        </w:rPr>
        <w:t xml:space="preserve"> et à Moszkowski</w:t>
      </w:r>
      <w:r w:rsidR="002834C1" w:rsidRPr="002834C1">
        <w:rPr>
          <w:rFonts w:ascii="Arial" w:hAnsi="Arial" w:cs="Arial"/>
          <w:sz w:val="24"/>
          <w:szCs w:val="24"/>
          <w:lang w:val="fr-CA"/>
        </w:rPr>
        <w:t>.</w:t>
      </w:r>
    </w:p>
    <w:p w:rsidR="002F5BBB" w:rsidRPr="002834C1" w:rsidRDefault="002F5BBB" w:rsidP="00267B84">
      <w:pPr>
        <w:spacing w:line="360" w:lineRule="exact"/>
        <w:jc w:val="both"/>
        <w:rPr>
          <w:rFonts w:ascii="Arial" w:hAnsi="Arial" w:cs="Arial"/>
          <w:sz w:val="24"/>
          <w:szCs w:val="24"/>
          <w:lang w:val="fr-CA"/>
        </w:rPr>
      </w:pPr>
      <w:r w:rsidRPr="002F5BBB">
        <w:rPr>
          <w:rFonts w:ascii="Arial" w:hAnsi="Arial" w:cs="Arial"/>
          <w:sz w:val="24"/>
          <w:szCs w:val="24"/>
          <w:lang w:val="fr-CA"/>
        </w:rPr>
        <w:t>En février 2017, DeepGulf devait à Moszkowski 1 129 500 dollars pour salaires impayés et remboursements de frais, avant intérêts.</w:t>
      </w:r>
    </w:p>
    <w:p w:rsidR="00B50A4A" w:rsidRPr="00267B84" w:rsidRDefault="009F1E65" w:rsidP="00267B84">
      <w:pPr>
        <w:spacing w:line="360" w:lineRule="exact"/>
        <w:jc w:val="both"/>
        <w:rPr>
          <w:rFonts w:ascii="Arial" w:hAnsi="Arial" w:cs="Arial"/>
          <w:sz w:val="24"/>
          <w:szCs w:val="24"/>
          <w:lang w:val="fr-CA"/>
        </w:rPr>
      </w:pPr>
      <w:r w:rsidRPr="00267B84">
        <w:rPr>
          <w:rFonts w:ascii="Arial" w:hAnsi="Arial" w:cs="Arial"/>
          <w:sz w:val="24"/>
          <w:szCs w:val="24"/>
          <w:lang w:val="fr-CA"/>
        </w:rPr>
        <w:t>D</w:t>
      </w:r>
      <w:r w:rsidR="0071150E">
        <w:rPr>
          <w:rFonts w:ascii="Arial" w:hAnsi="Arial" w:cs="Arial"/>
          <w:sz w:val="24"/>
          <w:szCs w:val="24"/>
          <w:lang w:val="fr-CA"/>
        </w:rPr>
        <w:t>ans ce contexte, d</w:t>
      </w:r>
      <w:r w:rsidR="00B50A4A" w:rsidRPr="00267B84">
        <w:rPr>
          <w:rFonts w:ascii="Arial" w:hAnsi="Arial" w:cs="Arial"/>
          <w:sz w:val="24"/>
          <w:szCs w:val="24"/>
          <w:lang w:val="fr-CA"/>
        </w:rPr>
        <w:t xml:space="preserve">es procédures judiciaires </w:t>
      </w:r>
      <w:r w:rsidR="0015675C" w:rsidRPr="00267B84">
        <w:rPr>
          <w:rFonts w:ascii="Arial" w:hAnsi="Arial" w:cs="Arial"/>
          <w:sz w:val="24"/>
          <w:szCs w:val="24"/>
          <w:lang w:val="fr-CA"/>
        </w:rPr>
        <w:t>furent</w:t>
      </w:r>
      <w:r w:rsidR="00B50A4A" w:rsidRPr="00267B84">
        <w:rPr>
          <w:rFonts w:ascii="Arial" w:hAnsi="Arial" w:cs="Arial"/>
          <w:sz w:val="24"/>
          <w:szCs w:val="24"/>
          <w:lang w:val="fr-CA"/>
        </w:rPr>
        <w:t xml:space="preserve"> engagées en France </w:t>
      </w:r>
      <w:r w:rsidR="008050BD">
        <w:rPr>
          <w:rFonts w:ascii="Arial" w:hAnsi="Arial" w:cs="Arial"/>
          <w:sz w:val="24"/>
          <w:szCs w:val="24"/>
          <w:lang w:val="fr-CA"/>
        </w:rPr>
        <w:t xml:space="preserve">et </w:t>
      </w:r>
      <w:r w:rsidR="00B50A4A" w:rsidRPr="00267B84">
        <w:rPr>
          <w:rFonts w:ascii="Arial" w:hAnsi="Arial" w:cs="Arial"/>
          <w:sz w:val="24"/>
          <w:szCs w:val="24"/>
          <w:lang w:val="fr-CA"/>
        </w:rPr>
        <w:t>en Floride contre Moszkowski</w:t>
      </w:r>
      <w:r w:rsidR="0071150E">
        <w:rPr>
          <w:rFonts w:ascii="Arial" w:hAnsi="Arial" w:cs="Arial"/>
          <w:sz w:val="24"/>
          <w:szCs w:val="24"/>
          <w:lang w:val="fr-CA"/>
        </w:rPr>
        <w:t xml:space="preserve">. </w:t>
      </w:r>
      <w:r w:rsidR="008050BD">
        <w:rPr>
          <w:rFonts w:ascii="Arial" w:hAnsi="Arial" w:cs="Arial"/>
          <w:sz w:val="24"/>
          <w:szCs w:val="24"/>
          <w:lang w:val="fr-CA"/>
        </w:rPr>
        <w:t>Celui-ci</w:t>
      </w:r>
      <w:r w:rsidR="0071150E">
        <w:rPr>
          <w:rFonts w:ascii="Arial" w:hAnsi="Arial" w:cs="Arial"/>
          <w:sz w:val="24"/>
          <w:szCs w:val="24"/>
          <w:lang w:val="fr-CA"/>
        </w:rPr>
        <w:t xml:space="preserve"> </w:t>
      </w:r>
      <w:r w:rsidR="0015675C" w:rsidRPr="00267B84">
        <w:rPr>
          <w:rFonts w:ascii="Arial" w:hAnsi="Arial" w:cs="Arial"/>
          <w:sz w:val="24"/>
          <w:szCs w:val="24"/>
          <w:lang w:val="fr-CA"/>
        </w:rPr>
        <w:t>fit</w:t>
      </w:r>
      <w:r w:rsidR="00B50A4A" w:rsidRPr="00267B84">
        <w:rPr>
          <w:rFonts w:ascii="Arial" w:hAnsi="Arial" w:cs="Arial"/>
          <w:sz w:val="24"/>
          <w:szCs w:val="24"/>
          <w:lang w:val="fr-CA"/>
        </w:rPr>
        <w:t xml:space="preserve"> transférer l’action de Floride devant </w:t>
      </w:r>
      <w:r w:rsidR="008050BD">
        <w:rPr>
          <w:rFonts w:ascii="Arial" w:hAnsi="Arial" w:cs="Arial"/>
          <w:sz w:val="24"/>
          <w:szCs w:val="24"/>
          <w:lang w:val="fr-CA"/>
        </w:rPr>
        <w:t>la juridiction</w:t>
      </w:r>
      <w:r w:rsidR="00B50A4A" w:rsidRPr="00267B84">
        <w:rPr>
          <w:rFonts w:ascii="Arial" w:hAnsi="Arial" w:cs="Arial"/>
          <w:sz w:val="24"/>
          <w:szCs w:val="24"/>
          <w:lang w:val="fr-CA"/>
        </w:rPr>
        <w:t xml:space="preserve"> fédéral</w:t>
      </w:r>
      <w:r w:rsidR="008050BD">
        <w:rPr>
          <w:rFonts w:ascii="Arial" w:hAnsi="Arial" w:cs="Arial"/>
          <w:sz w:val="24"/>
          <w:szCs w:val="24"/>
          <w:lang w:val="fr-CA"/>
        </w:rPr>
        <w:t>e</w:t>
      </w:r>
      <w:r w:rsidR="00B50A4A" w:rsidRPr="00267B84">
        <w:rPr>
          <w:rFonts w:ascii="Arial" w:hAnsi="Arial" w:cs="Arial"/>
          <w:sz w:val="24"/>
          <w:szCs w:val="24"/>
          <w:lang w:val="fr-CA"/>
        </w:rPr>
        <w:t xml:space="preserve"> pour cause de diversité de citoyenneté, où il </w:t>
      </w:r>
      <w:r w:rsidR="0015675C" w:rsidRPr="00267B84">
        <w:rPr>
          <w:rFonts w:ascii="Arial" w:hAnsi="Arial" w:cs="Arial"/>
          <w:sz w:val="24"/>
          <w:szCs w:val="24"/>
          <w:lang w:val="fr-CA"/>
        </w:rPr>
        <w:t>obtint</w:t>
      </w:r>
      <w:r w:rsidR="00B50A4A" w:rsidRPr="00267B84">
        <w:rPr>
          <w:rFonts w:ascii="Arial" w:hAnsi="Arial" w:cs="Arial"/>
          <w:sz w:val="24"/>
          <w:szCs w:val="24"/>
          <w:lang w:val="fr-CA"/>
        </w:rPr>
        <w:t xml:space="preserve"> gain de cause sur les demandes principales. Cependant, l’affaire </w:t>
      </w:r>
      <w:r w:rsidR="0015675C" w:rsidRPr="00267B84">
        <w:rPr>
          <w:rFonts w:ascii="Arial" w:hAnsi="Arial" w:cs="Arial"/>
          <w:sz w:val="24"/>
          <w:szCs w:val="24"/>
          <w:lang w:val="fr-CA"/>
        </w:rPr>
        <w:t>fut</w:t>
      </w:r>
      <w:r w:rsidR="00B50A4A" w:rsidRPr="00267B84">
        <w:rPr>
          <w:rFonts w:ascii="Arial" w:hAnsi="Arial" w:cs="Arial"/>
          <w:sz w:val="24"/>
          <w:szCs w:val="24"/>
          <w:lang w:val="fr-CA"/>
        </w:rPr>
        <w:t xml:space="preserve"> ensuite renvoyée devant le tribunal d’État pour motif de destruction de </w:t>
      </w:r>
      <w:r w:rsidR="0015675C" w:rsidRPr="00267B84">
        <w:rPr>
          <w:rFonts w:ascii="Arial" w:hAnsi="Arial" w:cs="Arial"/>
          <w:sz w:val="24"/>
          <w:szCs w:val="24"/>
          <w:lang w:val="fr-CA"/>
        </w:rPr>
        <w:t>cette</w:t>
      </w:r>
      <w:r w:rsidR="00B50A4A" w:rsidRPr="00267B84">
        <w:rPr>
          <w:rFonts w:ascii="Arial" w:hAnsi="Arial" w:cs="Arial"/>
          <w:sz w:val="24"/>
          <w:szCs w:val="24"/>
          <w:lang w:val="fr-CA"/>
        </w:rPr>
        <w:t xml:space="preserve"> </w:t>
      </w:r>
      <w:r w:rsidR="00415DBF" w:rsidRPr="00267B84">
        <w:rPr>
          <w:rFonts w:ascii="Arial" w:hAnsi="Arial" w:cs="Arial"/>
          <w:sz w:val="24"/>
          <w:szCs w:val="24"/>
          <w:lang w:val="fr-CA"/>
        </w:rPr>
        <w:t xml:space="preserve">même </w:t>
      </w:r>
      <w:r w:rsidR="00B50A4A" w:rsidRPr="00267B84">
        <w:rPr>
          <w:rFonts w:ascii="Arial" w:hAnsi="Arial" w:cs="Arial"/>
          <w:sz w:val="24"/>
          <w:szCs w:val="24"/>
          <w:lang w:val="fr-CA"/>
        </w:rPr>
        <w:t xml:space="preserve">diversité. Devant le tribunal </w:t>
      </w:r>
      <w:r w:rsidR="0015675C" w:rsidRPr="00267B84">
        <w:rPr>
          <w:rFonts w:ascii="Arial" w:hAnsi="Arial" w:cs="Arial"/>
          <w:sz w:val="24"/>
          <w:szCs w:val="24"/>
          <w:lang w:val="fr-CA"/>
        </w:rPr>
        <w:t>de Floride</w:t>
      </w:r>
      <w:r w:rsidR="00B50A4A" w:rsidRPr="00267B84">
        <w:rPr>
          <w:rFonts w:ascii="Arial" w:hAnsi="Arial" w:cs="Arial"/>
          <w:sz w:val="24"/>
          <w:szCs w:val="24"/>
          <w:lang w:val="fr-CA"/>
        </w:rPr>
        <w:t xml:space="preserve">, sa demande de comparution à distance </w:t>
      </w:r>
      <w:r w:rsidR="0015675C" w:rsidRPr="00267B84">
        <w:rPr>
          <w:rFonts w:ascii="Arial" w:hAnsi="Arial" w:cs="Arial"/>
          <w:sz w:val="24"/>
          <w:szCs w:val="24"/>
          <w:lang w:val="fr-CA"/>
        </w:rPr>
        <w:t>fut</w:t>
      </w:r>
      <w:r w:rsidR="00B50A4A" w:rsidRPr="00267B84">
        <w:rPr>
          <w:rFonts w:ascii="Arial" w:hAnsi="Arial" w:cs="Arial"/>
          <w:sz w:val="24"/>
          <w:szCs w:val="24"/>
          <w:lang w:val="fr-CA"/>
        </w:rPr>
        <w:t xml:space="preserve"> rejetée à la demande de la partie adverse</w:t>
      </w:r>
      <w:r w:rsidR="0071150E">
        <w:rPr>
          <w:rFonts w:ascii="Arial" w:hAnsi="Arial" w:cs="Arial"/>
          <w:sz w:val="24"/>
          <w:szCs w:val="24"/>
          <w:lang w:val="fr-CA"/>
        </w:rPr>
        <w:t xml:space="preserve">, </w:t>
      </w:r>
      <w:r w:rsidR="00B50A4A" w:rsidRPr="00267B84">
        <w:rPr>
          <w:rFonts w:ascii="Arial" w:hAnsi="Arial" w:cs="Arial"/>
          <w:sz w:val="24"/>
          <w:szCs w:val="24"/>
          <w:lang w:val="fr-CA"/>
        </w:rPr>
        <w:t xml:space="preserve">malgré la saisie de ses biens et un état de santé grave documenté. Il </w:t>
      </w:r>
      <w:r w:rsidR="0015675C" w:rsidRPr="00267B84">
        <w:rPr>
          <w:rFonts w:ascii="Arial" w:hAnsi="Arial" w:cs="Arial"/>
          <w:sz w:val="24"/>
          <w:szCs w:val="24"/>
          <w:lang w:val="fr-CA"/>
        </w:rPr>
        <w:t>fut</w:t>
      </w:r>
      <w:r w:rsidR="00B50A4A" w:rsidRPr="00267B84">
        <w:rPr>
          <w:rFonts w:ascii="Arial" w:hAnsi="Arial" w:cs="Arial"/>
          <w:sz w:val="24"/>
          <w:szCs w:val="24"/>
          <w:lang w:val="fr-CA"/>
        </w:rPr>
        <w:t xml:space="preserve"> déclaré défaillant. Une </w:t>
      </w:r>
      <w:r w:rsidR="00421443" w:rsidRPr="00267B84">
        <w:rPr>
          <w:rFonts w:ascii="Arial" w:hAnsi="Arial" w:cs="Arial"/>
          <w:sz w:val="24"/>
          <w:szCs w:val="24"/>
          <w:lang w:val="fr-CA"/>
        </w:rPr>
        <w:t>qualification</w:t>
      </w:r>
      <w:r w:rsidR="00B50A4A" w:rsidRPr="00267B84">
        <w:rPr>
          <w:rFonts w:ascii="Arial" w:hAnsi="Arial" w:cs="Arial"/>
          <w:sz w:val="24"/>
          <w:szCs w:val="24"/>
          <w:lang w:val="fr-CA"/>
        </w:rPr>
        <w:t xml:space="preserve"> de vol civil </w:t>
      </w:r>
      <w:r w:rsidR="0015675C" w:rsidRPr="00267B84">
        <w:rPr>
          <w:rFonts w:ascii="Arial" w:hAnsi="Arial" w:cs="Arial"/>
          <w:sz w:val="24"/>
          <w:szCs w:val="24"/>
          <w:lang w:val="fr-CA"/>
        </w:rPr>
        <w:t>fut</w:t>
      </w:r>
      <w:r w:rsidR="00B50A4A" w:rsidRPr="00267B84">
        <w:rPr>
          <w:rFonts w:ascii="Arial" w:hAnsi="Arial" w:cs="Arial"/>
          <w:sz w:val="24"/>
          <w:szCs w:val="24"/>
          <w:lang w:val="fr-CA"/>
        </w:rPr>
        <w:t xml:space="preserve"> prononcée sur la base d’une lettre de mise en demeure préalable à l’action, sans examen des opérations sous-jacentes, aboutissant à un jugement de 1</w:t>
      </w:r>
      <w:r w:rsidR="0015675C" w:rsidRPr="00267B84">
        <w:rPr>
          <w:rFonts w:ascii="Arial" w:hAnsi="Arial" w:cs="Arial"/>
          <w:sz w:val="24"/>
          <w:szCs w:val="24"/>
          <w:lang w:val="fr-CA"/>
        </w:rPr>
        <w:t> </w:t>
      </w:r>
      <w:r w:rsidR="00B50A4A" w:rsidRPr="00267B84">
        <w:rPr>
          <w:rFonts w:ascii="Arial" w:hAnsi="Arial" w:cs="Arial"/>
          <w:sz w:val="24"/>
          <w:szCs w:val="24"/>
          <w:lang w:val="fr-CA"/>
        </w:rPr>
        <w:t>035</w:t>
      </w:r>
      <w:r w:rsidR="0015675C" w:rsidRPr="00267B84">
        <w:rPr>
          <w:rFonts w:ascii="Arial" w:hAnsi="Arial" w:cs="Arial"/>
          <w:sz w:val="24"/>
          <w:szCs w:val="24"/>
          <w:lang w:val="fr-CA"/>
        </w:rPr>
        <w:t> </w:t>
      </w:r>
      <w:r w:rsidR="00B50A4A" w:rsidRPr="00267B84">
        <w:rPr>
          <w:rFonts w:ascii="Arial" w:hAnsi="Arial" w:cs="Arial"/>
          <w:sz w:val="24"/>
          <w:szCs w:val="24"/>
          <w:lang w:val="fr-CA"/>
        </w:rPr>
        <w:t xml:space="preserve">000 </w:t>
      </w:r>
      <w:r w:rsidR="008B79FB" w:rsidRPr="00267B84">
        <w:rPr>
          <w:rFonts w:ascii="Arial" w:hAnsi="Arial" w:cs="Arial"/>
          <w:sz w:val="24"/>
          <w:szCs w:val="24"/>
          <w:lang w:val="fr-CA"/>
        </w:rPr>
        <w:t>dollars</w:t>
      </w:r>
      <w:r w:rsidR="00B50A4A" w:rsidRPr="00267B84">
        <w:rPr>
          <w:rFonts w:ascii="Arial" w:hAnsi="Arial" w:cs="Arial"/>
          <w:sz w:val="24"/>
          <w:szCs w:val="24"/>
          <w:lang w:val="fr-CA"/>
        </w:rPr>
        <w:t xml:space="preserve"> plus 290</w:t>
      </w:r>
      <w:r w:rsidR="0015675C" w:rsidRPr="00267B84">
        <w:rPr>
          <w:rFonts w:ascii="Arial" w:hAnsi="Arial" w:cs="Arial"/>
          <w:sz w:val="24"/>
          <w:szCs w:val="24"/>
          <w:lang w:val="fr-CA"/>
        </w:rPr>
        <w:t> </w:t>
      </w:r>
      <w:r w:rsidR="00B50A4A" w:rsidRPr="00267B84">
        <w:rPr>
          <w:rFonts w:ascii="Arial" w:hAnsi="Arial" w:cs="Arial"/>
          <w:sz w:val="24"/>
          <w:szCs w:val="24"/>
          <w:lang w:val="fr-CA"/>
        </w:rPr>
        <w:t xml:space="preserve">461,73 </w:t>
      </w:r>
      <w:r w:rsidR="008B79FB" w:rsidRPr="00267B84">
        <w:rPr>
          <w:rFonts w:ascii="Arial" w:hAnsi="Arial" w:cs="Arial"/>
          <w:sz w:val="24"/>
          <w:szCs w:val="24"/>
          <w:lang w:val="fr-CA"/>
        </w:rPr>
        <w:t>dollars</w:t>
      </w:r>
      <w:r w:rsidR="00B50A4A" w:rsidRPr="00267B84">
        <w:rPr>
          <w:rFonts w:ascii="Arial" w:hAnsi="Arial" w:cs="Arial"/>
          <w:sz w:val="24"/>
          <w:szCs w:val="24"/>
          <w:lang w:val="fr-CA"/>
        </w:rPr>
        <w:t xml:space="preserve"> d’intérêts.</w:t>
      </w:r>
      <w:r w:rsidR="00732557" w:rsidRPr="00267B84">
        <w:rPr>
          <w:rFonts w:ascii="Segoe UI" w:hAnsi="Segoe UI" w:cs="Segoe UI"/>
          <w:b/>
          <w:bCs/>
          <w:color w:val="0F1115"/>
          <w:sz w:val="24"/>
          <w:szCs w:val="24"/>
          <w:shd w:val="clear" w:color="auto" w:fill="FFFFFF"/>
          <w:lang w:val="fr-CA"/>
        </w:rPr>
        <w:t xml:space="preserve"> </w:t>
      </w:r>
      <w:r w:rsidR="00732557" w:rsidRPr="00267B84">
        <w:rPr>
          <w:rFonts w:ascii="Arial" w:hAnsi="Arial" w:cs="Arial"/>
          <w:bCs/>
          <w:sz w:val="24"/>
          <w:szCs w:val="24"/>
          <w:lang w:val="fr-CA"/>
        </w:rPr>
        <w:t>La reddition de comptes supplémentaire pour les autres chefs d’accusation est toujours pendante.</w:t>
      </w:r>
      <w:r w:rsidR="00732557" w:rsidRPr="00267B84">
        <w:rPr>
          <w:rFonts w:ascii="Arial" w:hAnsi="Arial" w:cs="Arial"/>
          <w:sz w:val="24"/>
          <w:szCs w:val="24"/>
          <w:lang w:val="fr-CA"/>
        </w:rPr>
        <w:t xml:space="preserve"> </w:t>
      </w:r>
    </w:p>
    <w:p w:rsidR="00B87A26" w:rsidRPr="00267B84" w:rsidRDefault="00B50A4A" w:rsidP="00267B84">
      <w:pPr>
        <w:spacing w:after="360" w:line="360" w:lineRule="exact"/>
        <w:jc w:val="both"/>
        <w:rPr>
          <w:rFonts w:ascii="Arial" w:hAnsi="Arial" w:cs="Arial"/>
          <w:sz w:val="24"/>
          <w:szCs w:val="24"/>
          <w:lang w:val="fr-CA"/>
        </w:rPr>
      </w:pPr>
      <w:r w:rsidRPr="00267B84">
        <w:rPr>
          <w:rFonts w:ascii="Arial" w:hAnsi="Arial" w:cs="Arial"/>
          <w:sz w:val="24"/>
          <w:szCs w:val="24"/>
          <w:lang w:val="fr-CA"/>
        </w:rPr>
        <w:t xml:space="preserve">Un appel est pendant devant la First District Court of </w:t>
      </w:r>
      <w:proofErr w:type="spellStart"/>
      <w:r w:rsidRPr="00267B84">
        <w:rPr>
          <w:rFonts w:ascii="Arial" w:hAnsi="Arial" w:cs="Arial"/>
          <w:sz w:val="24"/>
          <w:szCs w:val="24"/>
          <w:lang w:val="fr-CA"/>
        </w:rPr>
        <w:t>Appeal</w:t>
      </w:r>
      <w:proofErr w:type="spellEnd"/>
      <w:r w:rsidRPr="00267B84">
        <w:rPr>
          <w:rFonts w:ascii="Arial" w:hAnsi="Arial" w:cs="Arial"/>
          <w:sz w:val="24"/>
          <w:szCs w:val="24"/>
          <w:lang w:val="fr-CA"/>
        </w:rPr>
        <w:t xml:space="preserve"> de Floride. Une action fédérale distincte a été déposée par Moszkowski devant le tribunal de district ouest de New York en janvier 2026.</w:t>
      </w:r>
    </w:p>
    <w:p w:rsidR="00881504" w:rsidRDefault="00881504" w:rsidP="00FD071C">
      <w:pPr>
        <w:jc w:val="center"/>
        <w:rPr>
          <w:rFonts w:ascii="Arial" w:eastAsia="Arial" w:hAnsi="Arial" w:cs="Arial"/>
          <w:b/>
          <w:bCs/>
          <w:sz w:val="24"/>
          <w:szCs w:val="24"/>
          <w:lang w:val="fr-CA"/>
        </w:rPr>
      </w:pPr>
    </w:p>
    <w:p w:rsidR="00881504" w:rsidRDefault="00881504" w:rsidP="00FD071C">
      <w:pPr>
        <w:jc w:val="center"/>
        <w:rPr>
          <w:rFonts w:ascii="Arial" w:eastAsia="Arial" w:hAnsi="Arial" w:cs="Arial"/>
          <w:b/>
          <w:bCs/>
          <w:sz w:val="24"/>
          <w:szCs w:val="24"/>
          <w:lang w:val="fr-CA"/>
        </w:rPr>
      </w:pPr>
    </w:p>
    <w:p w:rsidR="00FD071C" w:rsidRPr="00881504" w:rsidRDefault="00FD071C" w:rsidP="00FD071C">
      <w:pPr>
        <w:jc w:val="center"/>
        <w:rPr>
          <w:rFonts w:ascii="Arial" w:eastAsia="Arial" w:hAnsi="Arial" w:cs="Arial"/>
          <w:b/>
          <w:bCs/>
          <w:sz w:val="24"/>
          <w:szCs w:val="24"/>
          <w:lang w:val="fr-CA"/>
        </w:rPr>
      </w:pPr>
      <w:r w:rsidRPr="00FD071C">
        <w:rPr>
          <w:rFonts w:ascii="Arial" w:eastAsia="Arial" w:hAnsi="Arial" w:cs="Arial"/>
          <w:b/>
          <w:bCs/>
          <w:sz w:val="24"/>
          <w:szCs w:val="24"/>
          <w:lang w:val="fr-CA"/>
        </w:rPr>
        <w:t xml:space="preserve">Voir: </w:t>
      </w:r>
      <w:hyperlink r:id="rId7" w:history="1">
        <w:r w:rsidRPr="00FD071C">
          <w:rPr>
            <w:rStyle w:val="Hyperlink"/>
            <w:rFonts w:ascii="Arial" w:eastAsia="Arial" w:hAnsi="Arial" w:cs="Arial"/>
            <w:b/>
            <w:bCs/>
            <w:sz w:val="24"/>
            <w:szCs w:val="24"/>
            <w:lang w:val="fr-CA"/>
          </w:rPr>
          <w:t>CHRONIQUE DES ÉVÈNEMENTS À TRAVERS TROIS CONTINENTS</w:t>
        </w:r>
      </w:hyperlink>
      <w:bookmarkStart w:id="0" w:name="_GoBack"/>
      <w:bookmarkEnd w:id="0"/>
      <w:r w:rsidRPr="00FD071C">
        <w:rPr>
          <w:rFonts w:ascii="Arial" w:eastAsia="Arial" w:hAnsi="Arial" w:cs="Arial"/>
          <w:color w:val="000000"/>
          <w:sz w:val="24"/>
          <w:szCs w:val="24"/>
          <w:lang w:val="fr-CA"/>
        </w:rPr>
        <w:t xml:space="preserve"> </w:t>
      </w:r>
      <w:r>
        <w:rPr>
          <w:rStyle w:val="FootnoteReference"/>
          <w:rFonts w:ascii="Arial" w:eastAsia="Arial" w:hAnsi="Arial" w:cs="Arial"/>
          <w:color w:val="000000"/>
          <w:sz w:val="24"/>
          <w:szCs w:val="24"/>
        </w:rPr>
        <w:footnoteReference w:id="1"/>
      </w:r>
    </w:p>
    <w:sectPr w:rsidR="00FD071C" w:rsidRPr="00881504" w:rsidSect="00881504">
      <w:footerReference w:type="default" r:id="rId8"/>
      <w:pgSz w:w="11907" w:h="16839" w:code="9"/>
      <w:pgMar w:top="1440" w:right="1440" w:bottom="1440" w:left="1440" w:header="720" w:footer="91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5943" w:rsidRDefault="00235943" w:rsidP="00AC4D54">
      <w:pPr>
        <w:spacing w:after="0" w:line="240" w:lineRule="auto"/>
      </w:pPr>
      <w:r>
        <w:separator/>
      </w:r>
    </w:p>
  </w:endnote>
  <w:endnote w:type="continuationSeparator" w:id="0">
    <w:p w:rsidR="00235943" w:rsidRDefault="00235943" w:rsidP="00AC4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54815850"/>
      <w:docPartObj>
        <w:docPartGallery w:val="Page Numbers (Bottom of Page)"/>
        <w:docPartUnique/>
      </w:docPartObj>
    </w:sdtPr>
    <w:sdtEndPr>
      <w:rPr>
        <w:rFonts w:ascii="Arial" w:hAnsi="Arial" w:cs="Arial"/>
        <w:noProof/>
      </w:rPr>
    </w:sdtEndPr>
    <w:sdtContent>
      <w:p w:rsidR="00AC4D54" w:rsidRPr="00AC4D54" w:rsidRDefault="00AC4D54" w:rsidP="00AC4D54">
        <w:pPr>
          <w:pStyle w:val="Footer"/>
          <w:jc w:val="center"/>
          <w:rPr>
            <w:rFonts w:ascii="Arial" w:hAnsi="Arial" w:cs="Arial"/>
          </w:rPr>
        </w:pPr>
        <w:r w:rsidRPr="00AC4D54">
          <w:rPr>
            <w:rFonts w:ascii="Arial" w:hAnsi="Arial" w:cs="Arial"/>
          </w:rPr>
          <w:fldChar w:fldCharType="begin"/>
        </w:r>
        <w:r w:rsidRPr="00AC4D54">
          <w:rPr>
            <w:rFonts w:ascii="Arial" w:hAnsi="Arial" w:cs="Arial"/>
          </w:rPr>
          <w:instrText xml:space="preserve"> PAGE   \* MERGEFORMAT </w:instrText>
        </w:r>
        <w:r w:rsidRPr="00AC4D54">
          <w:rPr>
            <w:rFonts w:ascii="Arial" w:hAnsi="Arial" w:cs="Arial"/>
          </w:rPr>
          <w:fldChar w:fldCharType="separate"/>
        </w:r>
        <w:r w:rsidR="00C50B62">
          <w:rPr>
            <w:rFonts w:ascii="Arial" w:hAnsi="Arial" w:cs="Arial"/>
            <w:noProof/>
          </w:rPr>
          <w:t>2</w:t>
        </w:r>
        <w:r w:rsidRPr="00AC4D54">
          <w:rPr>
            <w:rFonts w:ascii="Arial" w:hAnsi="Arial" w:cs="Arial"/>
            <w:noProof/>
          </w:rPr>
          <w:fldChar w:fldCharType="end"/>
        </w:r>
        <w:r w:rsidRPr="00AC4D54">
          <w:rPr>
            <w:rFonts w:ascii="Arial" w:hAnsi="Arial" w:cs="Arial"/>
            <w:noProof/>
          </w:rPr>
          <w:t>/</w:t>
        </w:r>
        <w:r w:rsidRPr="00AC4D54">
          <w:rPr>
            <w:rFonts w:ascii="Arial" w:hAnsi="Arial" w:cs="Arial"/>
            <w:noProof/>
          </w:rPr>
          <w:fldChar w:fldCharType="begin"/>
        </w:r>
        <w:r w:rsidRPr="00AC4D54">
          <w:rPr>
            <w:rFonts w:ascii="Arial" w:hAnsi="Arial" w:cs="Arial"/>
            <w:noProof/>
          </w:rPr>
          <w:instrText xml:space="preserve"> NUMPAGES   \* MERGEFORMAT </w:instrText>
        </w:r>
        <w:r w:rsidRPr="00AC4D54">
          <w:rPr>
            <w:rFonts w:ascii="Arial" w:hAnsi="Arial" w:cs="Arial"/>
            <w:noProof/>
          </w:rPr>
          <w:fldChar w:fldCharType="separate"/>
        </w:r>
        <w:r w:rsidR="00C50B62">
          <w:rPr>
            <w:rFonts w:ascii="Arial" w:hAnsi="Arial" w:cs="Arial"/>
            <w:noProof/>
          </w:rPr>
          <w:t>2</w:t>
        </w:r>
        <w:r w:rsidRPr="00AC4D54">
          <w:rPr>
            <w:rFonts w:ascii="Arial" w:hAnsi="Arial" w:cs="Arial"/>
            <w:noProof/>
          </w:rPr>
          <w:fldChar w:fldCharType="end"/>
        </w:r>
      </w:p>
    </w:sdtContent>
  </w:sdt>
  <w:p w:rsidR="00AC4D54" w:rsidRDefault="00AC4D5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5943" w:rsidRDefault="00235943" w:rsidP="00AC4D54">
      <w:pPr>
        <w:spacing w:after="0" w:line="240" w:lineRule="auto"/>
      </w:pPr>
      <w:r>
        <w:separator/>
      </w:r>
    </w:p>
  </w:footnote>
  <w:footnote w:type="continuationSeparator" w:id="0">
    <w:p w:rsidR="00235943" w:rsidRDefault="00235943" w:rsidP="00AC4D54">
      <w:pPr>
        <w:spacing w:after="0" w:line="240" w:lineRule="auto"/>
      </w:pPr>
      <w:r>
        <w:continuationSeparator/>
      </w:r>
    </w:p>
  </w:footnote>
  <w:footnote w:id="1">
    <w:p w:rsidR="00FD071C" w:rsidRPr="009B7DF0" w:rsidRDefault="00FD071C" w:rsidP="00FD071C">
      <w:pPr>
        <w:pStyle w:val="FootnoteText"/>
        <w:spacing w:line="360" w:lineRule="auto"/>
        <w:rPr>
          <w:rFonts w:ascii="Arial" w:hAnsi="Arial" w:cs="Arial"/>
          <w:sz w:val="22"/>
          <w:szCs w:val="22"/>
          <w:lang w:val="en-US"/>
        </w:rPr>
      </w:pPr>
      <w:r w:rsidRPr="009B7DF0">
        <w:rPr>
          <w:rStyle w:val="FootnoteReference"/>
          <w:rFonts w:ascii="Arial" w:hAnsi="Arial" w:cs="Arial"/>
          <w:sz w:val="22"/>
          <w:szCs w:val="22"/>
        </w:rPr>
        <w:footnoteRef/>
      </w:r>
      <w:r w:rsidRPr="009B7DF0">
        <w:rPr>
          <w:rFonts w:ascii="Arial" w:hAnsi="Arial" w:cs="Arial"/>
          <w:sz w:val="22"/>
          <w:szCs w:val="22"/>
        </w:rPr>
        <w:t xml:space="preserve">  </w:t>
      </w:r>
      <w:r w:rsidRPr="00032B10">
        <w:rPr>
          <w:rFonts w:ascii="Arial" w:hAnsi="Arial" w:cs="Arial"/>
          <w:sz w:val="22"/>
          <w:szCs w:val="22"/>
        </w:rPr>
        <w:t>https://eastseas.com/Legal/</w:t>
      </w:r>
      <w:r w:rsidR="00881504">
        <w:rPr>
          <w:rFonts w:ascii="Arial" w:hAnsi="Arial" w:cs="Arial"/>
          <w:sz w:val="22"/>
          <w:szCs w:val="22"/>
        </w:rPr>
        <w:t>Chronique</w:t>
      </w:r>
      <w:r w:rsidRPr="00032B10">
        <w:rPr>
          <w:rFonts w:ascii="Arial" w:hAnsi="Arial" w:cs="Arial"/>
          <w:sz w:val="22"/>
          <w:szCs w:val="22"/>
        </w:rPr>
        <w:t>.pdf</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0A4A"/>
    <w:rsid w:val="00051A27"/>
    <w:rsid w:val="00057C02"/>
    <w:rsid w:val="000B5EFB"/>
    <w:rsid w:val="000F1ADC"/>
    <w:rsid w:val="00144A66"/>
    <w:rsid w:val="0015675C"/>
    <w:rsid w:val="00210DDD"/>
    <w:rsid w:val="00235943"/>
    <w:rsid w:val="00267B84"/>
    <w:rsid w:val="002834C1"/>
    <w:rsid w:val="002F5BBB"/>
    <w:rsid w:val="00352C8C"/>
    <w:rsid w:val="003F54BF"/>
    <w:rsid w:val="00404667"/>
    <w:rsid w:val="00415DBF"/>
    <w:rsid w:val="00421443"/>
    <w:rsid w:val="004640C8"/>
    <w:rsid w:val="004A2888"/>
    <w:rsid w:val="004E21BE"/>
    <w:rsid w:val="00511D11"/>
    <w:rsid w:val="00545F58"/>
    <w:rsid w:val="0060107F"/>
    <w:rsid w:val="006252A4"/>
    <w:rsid w:val="006F5554"/>
    <w:rsid w:val="0071150E"/>
    <w:rsid w:val="00713BE1"/>
    <w:rsid w:val="00732557"/>
    <w:rsid w:val="0078290C"/>
    <w:rsid w:val="007A4E66"/>
    <w:rsid w:val="008050BD"/>
    <w:rsid w:val="008578BD"/>
    <w:rsid w:val="00881504"/>
    <w:rsid w:val="008A05CA"/>
    <w:rsid w:val="008B79FB"/>
    <w:rsid w:val="00936184"/>
    <w:rsid w:val="009D59CE"/>
    <w:rsid w:val="009F1E65"/>
    <w:rsid w:val="00A52EA2"/>
    <w:rsid w:val="00AA11E4"/>
    <w:rsid w:val="00AC4D54"/>
    <w:rsid w:val="00AF7A94"/>
    <w:rsid w:val="00B22764"/>
    <w:rsid w:val="00B50A4A"/>
    <w:rsid w:val="00B87A26"/>
    <w:rsid w:val="00C111CA"/>
    <w:rsid w:val="00C50B62"/>
    <w:rsid w:val="00C74008"/>
    <w:rsid w:val="00CD5F13"/>
    <w:rsid w:val="00CE491B"/>
    <w:rsid w:val="00CE53F6"/>
    <w:rsid w:val="00ED1926"/>
    <w:rsid w:val="00F94869"/>
    <w:rsid w:val="00FD07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4D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4D54"/>
  </w:style>
  <w:style w:type="paragraph" w:styleId="Footer">
    <w:name w:val="footer"/>
    <w:basedOn w:val="Normal"/>
    <w:link w:val="FooterChar"/>
    <w:uiPriority w:val="99"/>
    <w:unhideWhenUsed/>
    <w:rsid w:val="00AC4D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4D54"/>
  </w:style>
  <w:style w:type="paragraph" w:styleId="FootnoteText">
    <w:name w:val="footnote text"/>
    <w:basedOn w:val="Normal"/>
    <w:link w:val="FootnoteTextChar"/>
    <w:uiPriority w:val="99"/>
    <w:semiHidden/>
    <w:unhideWhenUsed/>
    <w:rsid w:val="00FD071C"/>
    <w:pPr>
      <w:spacing w:after="0" w:line="240" w:lineRule="auto"/>
    </w:pPr>
    <w:rPr>
      <w:rFonts w:ascii="Calibri" w:eastAsia="Calibri" w:hAnsi="Calibri" w:cs="Calibri"/>
      <w:sz w:val="20"/>
      <w:szCs w:val="20"/>
      <w:lang w:val="en"/>
    </w:rPr>
  </w:style>
  <w:style w:type="character" w:customStyle="1" w:styleId="FootnoteTextChar">
    <w:name w:val="Footnote Text Char"/>
    <w:basedOn w:val="DefaultParagraphFont"/>
    <w:link w:val="FootnoteText"/>
    <w:uiPriority w:val="99"/>
    <w:semiHidden/>
    <w:rsid w:val="00FD071C"/>
    <w:rPr>
      <w:rFonts w:ascii="Calibri" w:eastAsia="Calibri" w:hAnsi="Calibri" w:cs="Calibri"/>
      <w:sz w:val="20"/>
      <w:szCs w:val="20"/>
      <w:lang w:val="en"/>
    </w:rPr>
  </w:style>
  <w:style w:type="character" w:styleId="FootnoteReference">
    <w:name w:val="footnote reference"/>
    <w:basedOn w:val="DefaultParagraphFont"/>
    <w:uiPriority w:val="99"/>
    <w:semiHidden/>
    <w:unhideWhenUsed/>
    <w:rsid w:val="00FD071C"/>
    <w:rPr>
      <w:vertAlign w:val="superscript"/>
    </w:rPr>
  </w:style>
  <w:style w:type="character" w:styleId="Hyperlink">
    <w:name w:val="Hyperlink"/>
    <w:basedOn w:val="DefaultParagraphFont"/>
    <w:uiPriority w:val="99"/>
    <w:unhideWhenUsed/>
    <w:rsid w:val="00FD071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4D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4D54"/>
  </w:style>
  <w:style w:type="paragraph" w:styleId="Footer">
    <w:name w:val="footer"/>
    <w:basedOn w:val="Normal"/>
    <w:link w:val="FooterChar"/>
    <w:uiPriority w:val="99"/>
    <w:unhideWhenUsed/>
    <w:rsid w:val="00AC4D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4D54"/>
  </w:style>
  <w:style w:type="paragraph" w:styleId="FootnoteText">
    <w:name w:val="footnote text"/>
    <w:basedOn w:val="Normal"/>
    <w:link w:val="FootnoteTextChar"/>
    <w:uiPriority w:val="99"/>
    <w:semiHidden/>
    <w:unhideWhenUsed/>
    <w:rsid w:val="00FD071C"/>
    <w:pPr>
      <w:spacing w:after="0" w:line="240" w:lineRule="auto"/>
    </w:pPr>
    <w:rPr>
      <w:rFonts w:ascii="Calibri" w:eastAsia="Calibri" w:hAnsi="Calibri" w:cs="Calibri"/>
      <w:sz w:val="20"/>
      <w:szCs w:val="20"/>
      <w:lang w:val="en"/>
    </w:rPr>
  </w:style>
  <w:style w:type="character" w:customStyle="1" w:styleId="FootnoteTextChar">
    <w:name w:val="Footnote Text Char"/>
    <w:basedOn w:val="DefaultParagraphFont"/>
    <w:link w:val="FootnoteText"/>
    <w:uiPriority w:val="99"/>
    <w:semiHidden/>
    <w:rsid w:val="00FD071C"/>
    <w:rPr>
      <w:rFonts w:ascii="Calibri" w:eastAsia="Calibri" w:hAnsi="Calibri" w:cs="Calibri"/>
      <w:sz w:val="20"/>
      <w:szCs w:val="20"/>
      <w:lang w:val="en"/>
    </w:rPr>
  </w:style>
  <w:style w:type="character" w:styleId="FootnoteReference">
    <w:name w:val="footnote reference"/>
    <w:basedOn w:val="DefaultParagraphFont"/>
    <w:uiPriority w:val="99"/>
    <w:semiHidden/>
    <w:unhideWhenUsed/>
    <w:rsid w:val="00FD071C"/>
    <w:rPr>
      <w:vertAlign w:val="superscript"/>
    </w:rPr>
  </w:style>
  <w:style w:type="character" w:styleId="Hyperlink">
    <w:name w:val="Hyperlink"/>
    <w:basedOn w:val="DefaultParagraphFont"/>
    <w:uiPriority w:val="99"/>
    <w:unhideWhenUsed/>
    <w:rsid w:val="00FD07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4550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Chronique.pdf"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623</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    </cp:lastModifiedBy>
  <cp:revision>20</cp:revision>
  <cp:lastPrinted>2026-05-29T11:48:00Z</cp:lastPrinted>
  <dcterms:created xsi:type="dcterms:W3CDTF">2026-04-20T05:10:00Z</dcterms:created>
  <dcterms:modified xsi:type="dcterms:W3CDTF">2026-05-29T12:04:00Z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