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Korreweg 188, 9715AL Groningen</w:t>
      </w:r>
    </w:p>
    <w:p>
      <w:pPr>
        <w:spacing w:before="0" w:after="0"/>
      </w:pPr>
      <w:r>
        <w:rPr>
          <w:rFonts w:ascii="Calibri" w:hAnsi="Calibri" w:cs="Calibri"/>
          <w:sz w:val="22"/>
          <w:szCs w:val="22"/>
          <w:color w:val="666666"/>
        </w:rPr>
        <w:t xml:space="preserve">23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Let op: voor uw woning is geen actueel energielabel gevonden in EP-Online. De onderstaande scores zijn indicatief op basis van bouwjaar 1935 en vergelijkbare woningen uit dezelfde periode. Uw woning uit 1935 heeft op alle vier onderdelen een significant verbeterpotentieel (gemiddelde score: 4.0/5). De meest kansrijke eerste maatregel om te onderzoeken is gevelisolatie (gevel, score 4/5): indicatief bespaart u €219–€297 per jaar en is de terugverdientijd indicatief circa 6–19 jaar na ISDE-subsidie. Uw indicatieve ISDE-subsidie voor de meest kansrijke maatregelen samen: tot €1,168. Bereken uw persoonlijke subsidie en vraag een vrijblijvend adviesgesprek aan via www.pandiq.nl/subsidie.</w:t>
      </w:r>
      <w:proofErr w:type="spellStart"/>
      <w:r>
        <w:rPr>
          <w:color w:val="1A2340"/>
        </w:rPr>
        <w:t/>
      </w:r>
      <w:proofErr w:type="spellEnd"/>
      <w:r>
        <w:rPr>
          <w:color w:val="1A2340"/>
        </w:rPr>
        <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Korreweg 188, 9715AL Groningen. De woning is gebouwd in 1935.</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woning:Er zijn geen EP-Online kengetallen beschikbaar voor deze woning. De energieprestatie kan daardoor niet automatisch worden geduid. Een maatwerkadvies geeft hier meer inzicht.</w:t>
      </w:r>
      <w:r w:rsidRPr="001D0978">
        <w:rPr>
          <w:b/>
          <w:bCs/>
          <w:color w:val="1A2340"/>
        </w:rPr>
        <w:t/>
      </w:r>
      <w:r>
        <w:rPr>
          <w:b/>
          <w:bCs/>
          <w:color w:val="1A2340"/>
        </w:rPr>
        <w:t/>
      </w:r>
      <w:r w:rsidR="00482D26">
        <w:rPr>
          <w:color w:val="1A2340"/>
        </w:rPr>
        <w:br/>
      </w:r>
      <w:r w:rsidR="00482D26">
        <w:rPr>
          <w:color w:val="1A2340"/>
        </w:rPr>
        <w:br/>
      </w:r>
      <w:r w:rsidR="00B346C3">
        <w:rPr>
          <w:color w:val="1A2340"/>
        </w:rPr>
        <w:t/>
      </w:r>
      <w:proofErr w:type="spellStart"/>
      <w:r w:rsidR="00B346C3">
        <w:rPr>
          <w:color w:val="1A2340"/>
        </w:rPr>
        <w:t/>
      </w:r>
      <w:proofErr w:type="spellEnd"/>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Korreweg 188, 9715AL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23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1935</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voor 1975</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49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val="0"/>
                <w:color w:val="1F2937"/>
                <w:sz w:val="22"/>
              </w:rPr>
              <w:t xml:space="preserve">—</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w:t>
            </w:r>
            <w:proofErr w:type="spellStart"/>
            <w:r>
              <w:rPr>
                <w:rFonts w:ascii="Calibri" w:hAnsi="Calibri"/>
                <w:b w:val="0"/>
                <w:color w:val="1F2937"/>
                <w:sz w:val="22"/>
              </w:rPr>
              <w:t/>
            </w:r>
            <w:proofErr w:type="spellEnd"/>
            <w:r>
              <w:rPr>
                <w:rFonts w:ascii="Calibri" w:hAnsi="Calibri"/>
                <w:b w:val="0"/>
                <w:color w:val="1F2937"/>
                <w:sz w:val="22"/>
              </w:rPr>
              <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stamt uit een periode waarin energieverbruik nog geen rol speelde bij het ontwerp. Kenmerkend zijn de houten begane grondvloeren en gevels die tot circa 1930 massief (steens) werden uitgevoerd of daarna voorzien zijn van een zeer beperkte, ongeïsoleerde luchtspouw. Isolatie ontbrak oorspronkelijk volledig, waardoor woningen uit deze periode tot de meest energie-intensieve van Nederland behoren — maar ook tot de categorie met de grootste besparingspotentie.</w:t>
      </w:r>
      <w:proofErr w:type="spellStart"/>
      <w:r>
        <w:rPr>
          <w:color w:val="1A2340"/>
        </w:rPr>
        <w:t/>
      </w:r>
      <w:proofErr w:type="spellEnd"/>
      <w:r>
        <w:rPr>
          <w:color w:val="1A2340"/>
        </w:rPr>
        <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6D6ED49E" w14:textId="77777777" w:rsidR="0072010A" w:rsidRDefault="0072010A">
      <w:pPr>
        <w:spacing w:before="120" w:after="120"/>
      </w:pPr>
    </w:p>
    <w:tbl>
      <w:tblPr>
        <w:tblW w:w="90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10" w:type="dxa"/>
          <w:right w:w="10" w:type="dxa"/>
        </w:tblCellMar>
        <w:tblLook w:val="0000" w:firstRow="0" w:lastRow="0" w:firstColumn="0" w:lastColumn="0" w:noHBand="0" w:noVBand="0"/>
      </w:tblPr>
      <w:tblGrid>
        <w:gridCol w:w="2295"/>
        <w:gridCol w:w="1759"/>
        <w:gridCol w:w="4972"/>
      </w:tblGrid>
      <w:tr w:rsidR="0072010A" w14:paraId="6D6ED4A2" w14:textId="77777777" w:rsidTr="00E2056A">
        <w:tc>
          <w:tcPr>
            <w:tcW w:w="2400" w:type="dxa"/>
            <w:shd w:val="clear" w:color="auto" w:fill="5AAA00"/>
            <w:tcMar>
              <w:top w:w="80" w:type="dxa"/>
              <w:left w:w="120" w:type="dxa"/>
              <w:bottom w:w="80" w:type="dxa"/>
              <w:right w:w="120" w:type="dxa"/>
            </w:tcMar>
          </w:tcPr>
          <w:p w14:paraId="6D6ED49F" w14:textId="77777777" w:rsidR="0072010A" w:rsidRPr="0068671D" w:rsidRDefault="00B346C3">
            <w:pPr>
              <w:rPr>
                <w:color w:val="FFFFFF" w:themeColor="background1"/>
              </w:rPr>
            </w:pPr>
            <w:r w:rsidRPr="0068671D">
              <w:rPr>
                <w:b/>
                <w:bCs/>
                <w:color w:val="FFFFFF" w:themeColor="background1"/>
                <w:sz w:val="20"/>
                <w:szCs w:val="20"/>
              </w:rPr>
              <w:t>Onderdeel</w:t>
            </w:r>
          </w:p>
        </w:tc>
        <w:tc>
          <w:tcPr>
            <w:tcW w:w="1400" w:type="dxa"/>
            <w:shd w:val="clear" w:color="auto" w:fill="5AAA00"/>
            <w:tcMar>
              <w:top w:w="80" w:type="dxa"/>
              <w:left w:w="120" w:type="dxa"/>
              <w:bottom w:w="80" w:type="dxa"/>
              <w:right w:w="120" w:type="dxa"/>
            </w:tcMar>
          </w:tcPr>
          <w:p w14:paraId="6D6ED4A0" w14:textId="77777777" w:rsidR="0072010A" w:rsidRPr="0068671D" w:rsidRDefault="00B346C3">
            <w:pPr>
              <w:rPr>
                <w:color w:val="FFFFFF" w:themeColor="background1"/>
              </w:rPr>
            </w:pPr>
            <w:r w:rsidRPr="0068671D">
              <w:rPr>
                <w:b/>
                <w:bCs/>
                <w:color w:val="FFFFFF" w:themeColor="background1"/>
                <w:sz w:val="20"/>
                <w:szCs w:val="20"/>
              </w:rPr>
              <w:t>Score</w:t>
            </w:r>
          </w:p>
        </w:tc>
        <w:tc>
          <w:tcPr>
            <w:tcW w:w="5226" w:type="dxa"/>
            <w:shd w:val="clear" w:color="auto" w:fill="5AAA00"/>
            <w:tcMar>
              <w:top w:w="80" w:type="dxa"/>
              <w:left w:w="120" w:type="dxa"/>
              <w:bottom w:w="80" w:type="dxa"/>
              <w:right w:w="120" w:type="dxa"/>
            </w:tcMar>
          </w:tcPr>
          <w:p w14:paraId="6D6ED4A1" w14:textId="77777777" w:rsidR="0072010A" w:rsidRPr="0068671D" w:rsidRDefault="00B346C3">
            <w:pPr>
              <w:rPr>
                <w:color w:val="FFFFFF" w:themeColor="background1"/>
              </w:rPr>
            </w:pPr>
            <w:r w:rsidRPr="0068671D">
              <w:rPr>
                <w:b/>
                <w:bCs/>
                <w:color w:val="FFFFFF" w:themeColor="background1"/>
                <w:sz w:val="20"/>
                <w:szCs w:val="20"/>
              </w:rPr>
              <w:t>Beoordeling</w:t>
            </w:r>
          </w:p>
        </w:tc>
      </w:tr>
      <w:tr w:rsidR="0072010A" w14:paraId="6D6ED4A6" w14:textId="77777777" w:rsidTr="003B162E">
        <w:tc>
          <w:tcPr>
            <w:tcW w:w="2400" w:type="dxa"/>
            <w:shd w:val="clear" w:color="auto" w:fill="FFFFFF"/>
            <w:tcMar>
              <w:top w:w="80" w:type="dxa"/>
              <w:left w:w="120" w:type="dxa"/>
              <w:bottom w:w="80" w:type="dxa"/>
              <w:right w:w="120" w:type="dxa"/>
            </w:tcMar>
          </w:tcPr>
          <w:p w14:paraId="6D6ED4A3" w14:textId="77777777" w:rsidR="0072010A" w:rsidRDefault="00B346C3">
            <w:r>
              <w:rPr>
                <w:color w:val="1A2340"/>
                <w:sz w:val="20"/>
                <w:szCs w:val="20"/>
              </w:rPr>
              <w:t>Dak</w:t>
            </w:r>
          </w:p>
        </w:tc>
        <w:tc>
          <w:tcPr>
            <w:tcW w:w="1400" w:type="dxa"/>
            <w:shd w:val="clear" w:color="auto" w:fill="FFFFFF"/>
            <w:tcMar>
              <w:top w:w="80" w:type="dxa"/>
              <w:left w:w="120" w:type="dxa"/>
              <w:bottom w:w="80" w:type="dxa"/>
              <w:right w:w="120" w:type="dxa"/>
            </w:tcMar>
          </w:tcPr>
          <w:p w14:paraId="6D6ED4A4"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5"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A" w14:textId="77777777" w:rsidTr="003B162E">
        <w:tc>
          <w:tcPr>
            <w:tcW w:w="2400" w:type="dxa"/>
            <w:shd w:val="clear" w:color="auto" w:fill="FFFFFF"/>
            <w:tcMar>
              <w:top w:w="80" w:type="dxa"/>
              <w:left w:w="120" w:type="dxa"/>
              <w:bottom w:w="80" w:type="dxa"/>
              <w:right w:w="120" w:type="dxa"/>
            </w:tcMar>
          </w:tcPr>
          <w:p w14:paraId="6D6ED4A7" w14:textId="77777777" w:rsidR="0072010A" w:rsidRDefault="00B346C3">
            <w:r>
              <w:rPr>
                <w:color w:val="1A2340"/>
                <w:sz w:val="20"/>
                <w:szCs w:val="20"/>
              </w:rPr>
              <w:t>Gevel</w:t>
            </w:r>
          </w:p>
        </w:tc>
        <w:tc>
          <w:tcPr>
            <w:tcW w:w="1400" w:type="dxa"/>
            <w:shd w:val="clear" w:color="auto" w:fill="FFFFFF"/>
            <w:tcMar>
              <w:top w:w="80" w:type="dxa"/>
              <w:left w:w="120" w:type="dxa"/>
              <w:bottom w:w="80" w:type="dxa"/>
              <w:right w:w="120" w:type="dxa"/>
            </w:tcMar>
          </w:tcPr>
          <w:p w14:paraId="6D6ED4A8"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9"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E" w14:textId="77777777" w:rsidTr="003B162E">
        <w:tc>
          <w:tcPr>
            <w:tcW w:w="2400" w:type="dxa"/>
            <w:shd w:val="clear" w:color="auto" w:fill="FFFFFF"/>
            <w:tcMar>
              <w:top w:w="80" w:type="dxa"/>
              <w:left w:w="120" w:type="dxa"/>
              <w:bottom w:w="80" w:type="dxa"/>
              <w:right w:w="120" w:type="dxa"/>
            </w:tcMar>
          </w:tcPr>
          <w:p w14:paraId="6D6ED4AB" w14:textId="77777777" w:rsidR="0072010A" w:rsidRDefault="00B346C3">
            <w:r>
              <w:rPr>
                <w:color w:val="1A2340"/>
                <w:sz w:val="20"/>
                <w:szCs w:val="20"/>
              </w:rPr>
              <w:t>Vloer</w:t>
            </w:r>
          </w:p>
        </w:tc>
        <w:tc>
          <w:tcPr>
            <w:tcW w:w="1400" w:type="dxa"/>
            <w:shd w:val="clear" w:color="auto" w:fill="FFFFFF"/>
            <w:tcMar>
              <w:top w:w="80" w:type="dxa"/>
              <w:left w:w="120" w:type="dxa"/>
              <w:bottom w:w="80" w:type="dxa"/>
              <w:right w:w="120" w:type="dxa"/>
            </w:tcMar>
          </w:tcPr>
          <w:p w14:paraId="6D6ED4AC"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D"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B2" w14:textId="77777777" w:rsidTr="003B162E">
        <w:tc>
          <w:tcPr>
            <w:tcW w:w="2400" w:type="dxa"/>
            <w:shd w:val="clear" w:color="auto" w:fill="FFFFFF"/>
            <w:tcMar>
              <w:top w:w="80" w:type="dxa"/>
              <w:left w:w="120" w:type="dxa"/>
              <w:bottom w:w="80" w:type="dxa"/>
              <w:right w:w="120" w:type="dxa"/>
            </w:tcMar>
          </w:tcPr>
          <w:p w14:paraId="6D6ED4AF" w14:textId="77777777" w:rsidR="0072010A" w:rsidRDefault="00B346C3">
            <w:r>
              <w:rPr>
                <w:color w:val="1A2340"/>
                <w:sz w:val="20"/>
                <w:szCs w:val="20"/>
              </w:rPr>
              <w:t>Glas</w:t>
            </w:r>
          </w:p>
        </w:tc>
        <w:tc>
          <w:tcPr>
            <w:tcW w:w="1400" w:type="dxa"/>
            <w:shd w:val="clear" w:color="auto" w:fill="FFFFFF"/>
            <w:tcMar>
              <w:top w:w="80" w:type="dxa"/>
              <w:left w:w="120" w:type="dxa"/>
              <w:bottom w:w="80" w:type="dxa"/>
              <w:right w:w="120" w:type="dxa"/>
            </w:tcMar>
          </w:tcPr>
          <w:p w14:paraId="6D6ED4B0"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B1" w14:textId="77777777" w:rsidR="0072010A" w:rsidRDefault="00B346C3">
            <w:r>
              <w:rPr>
                <w:color w:val="1A2340"/>
              </w:rPr>
              <w:t xml:space="preserve">Slecht</w:t>
            </w:r>
            <w:proofErr w:type="spellStart"/>
            <w:r>
              <w:rPr>
                <w:color w:val="1A2340"/>
              </w:rPr>
              <w:t/>
            </w:r>
            <w:proofErr w:type="spellEnd"/>
            <w:r>
              <w:rPr>
                <w:color w:val="1A2340"/>
              </w:rPr>
              <w:t/>
            </w:r>
          </w:p>
        </w:tc>
      </w:tr>
    </w:tbl>
    <w:p w14:paraId="6D6ED4B3" w14:textId="77777777" w:rsidR="0072010A" w:rsidRDefault="0072010A">
      <w:pPr>
        <w:spacing w:before="240"/>
      </w:pPr>
    </w:p>
    <w:p w14:paraId="67DA02C5" w14:textId="77777777" w:rsidR="00B50E04" w:rsidRDefault="00B50E04">
      <w:pPr>
        <w:spacing w:before="240"/>
      </w:pPr>
    </w:p>
    <w:p w14:paraId="2145B27C" w14:textId="77777777" w:rsidR="00B50E04" w:rsidRDefault="00B50E04" w:rsidP="00B50E04">
      <w:pPr>
        <w:pBdr>
          <w:bottom w:val="single" w:sz="2" w:space="1" w:color="D0D8EC"/>
        </w:pBdr>
        <w:spacing w:before="160" w:after="160"/>
      </w:pPr>
    </w:p>
    <w:p w14:paraId="2228FB7B" w14:textId="77777777" w:rsidR="003813AC" w:rsidRDefault="003813AC">
      <w:pPr>
        <w:rPr>
          <w:b/>
          <w:bCs/>
          <w:color w:val="2E6BE6"/>
        </w:rPr>
      </w:pPr>
      <w:r>
        <w:rPr>
          <w:b/>
          <w:bCs/>
          <w:color w:val="2E6BE6"/>
        </w:rPr>
        <w:br w:type="page"/>
      </w:r>
    </w:p>
    <w:p>
      <w:pPr>
        <w:pStyle w:val="Normal"/>
        <w:spacing w:before="0" w:after="200"/>
      </w:pPr>
      <w:r>
        <w:rPr>
          <w:b/>
          <w:rFonts w:ascii="Calibri" w:hAnsi="Calibri" w:cs="Calibri"/>
          <w:sz w:val="28"/>
          <w:szCs w:val="28"/>
          <w:color w:val="1D1D1B"/>
        </w:rPr>
        <w:t xml:space="preserve">Aanbevolen maatregelen</w:t>
      </w:r>
    </w:p>
    <w:p>
      <w:pPr>
        <w:pStyle w:val="Normal"/>
        <w:spacing w:before="0" w:after="60"/>
      </w:pPr>
      <w:r>
        <w:rPr>
          <w:b/>
          <w:rFonts w:ascii="Calibri" w:hAnsi="Calibri" w:cs="Calibri"/>
          <w:sz w:val="22"/>
          <w:szCs w:val="22"/>
          <w:color w:val="5AAA00"/>
        </w:rPr>
        <w:t xml:space="preserve">1. Gevel  —  score 4/5  —  Hoge urgentie</w:t>
      </w:r>
    </w:p>
    <w:p>
      <w:pPr>
        <w:pStyle w:val="Normal"/>
        <w:spacing w:before="0" w:after="60"/>
      </w:pPr>
      <w:r>
        <w:rPr>
          <w:rFonts w:ascii="Calibri" w:hAnsi="Calibri" w:cs="Calibri"/>
          <w:sz w:val="22"/>
          <w:szCs w:val="22"/>
          <w:color w:val="1D1D1B"/>
        </w:rPr>
        <w:t xml:space="preserve">Aanbevolen maatregel: Gevelisolatie</w:t>
      </w:r>
    </w:p>
    <w:p>
      <w:pPr>
        <w:pStyle w:val="Normal"/>
        <w:spacing w:before="0" w:after="60"/>
      </w:pPr>
      <w:r>
        <w:rPr>
          <w:rFonts w:ascii="Calibri" w:hAnsi="Calibri" w:cs="Calibri"/>
          <w:sz w:val="22"/>
          <w:szCs w:val="22"/>
          <w:color w:val="666666"/>
        </w:rPr>
        <w:t xml:space="preserve">Geschatte oppervlakte: ca. 24 m²</w:t>
      </w:r>
    </w:p>
    <w:p>
      <w:pPr>
        <w:pStyle w:val="Normal"/>
        <w:spacing w:before="0" w:after="60"/>
      </w:pPr>
      <w:r>
        <w:rPr>
          <w:rFonts w:ascii="Calibri" w:hAnsi="Calibri" w:cs="Calibri"/>
          <w:sz w:val="22"/>
          <w:szCs w:val="22"/>
          <w:color w:val="1D1D1B"/>
        </w:rPr>
        <w:t xml:space="preserve">Indicatieve besparing: €219–€297 per jaar</w:t>
      </w:r>
    </w:p>
    <w:p>
      <w:pPr>
        <w:pStyle w:val="Normal"/>
        <w:spacing w:before="0" w:after="60"/>
      </w:pPr>
      <w:r>
        <w:rPr>
          <w:rFonts w:ascii="Calibri" w:hAnsi="Calibri" w:cs="Calibri"/>
          <w:sz w:val="22"/>
          <w:szCs w:val="22"/>
          <w:color w:val="1D1D1B"/>
        </w:rPr>
        <w:t xml:space="preserve">Indicatieve investering: €2,205–€4,655</w:t>
      </w:r>
    </w:p>
    <w:p>
      <w:pPr>
        <w:pStyle w:val="Normal"/>
        <w:spacing w:before="0" w:after="60"/>
      </w:pPr>
      <w:r>
        <w:rPr>
          <w:rFonts w:ascii="Calibri" w:hAnsi="Calibri" w:cs="Calibri"/>
          <w:sz w:val="22"/>
          <w:szCs w:val="22"/>
          <w:color w:val="2E7D32"/>
        </w:rPr>
        <w:t xml:space="preserve">ISDE-subsidie indicatie: tot €496</w:t>
      </w:r>
    </w:p>
    <w:p>
      <w:pPr>
        <w:pStyle w:val="Normal"/>
        <w:spacing w:before="0" w:after="200"/>
      </w:pPr>
      <w:r>
        <w:rPr>
          <w:rFonts w:ascii="Calibri" w:hAnsi="Calibri" w:cs="Calibri"/>
          <w:sz w:val="22"/>
          <w:szCs w:val="22"/>
          <w:color w:val="1D1D1B"/>
        </w:rPr>
        <w:t xml:space="preserve">Terugverdientijd na subsidie: ca. 6–19 jaar</w:t>
      </w:r>
    </w:p>
    <w:p>
      <w:pPr>
        <w:pStyle w:val="Normal"/>
        <w:spacing w:before="0" w:after="60"/>
      </w:pPr>
      <w:r>
        <w:rPr>
          <w:b/>
          <w:rFonts w:ascii="Calibri" w:hAnsi="Calibri" w:cs="Calibri"/>
          <w:sz w:val="22"/>
          <w:szCs w:val="22"/>
          <w:color w:val="5AAA00"/>
        </w:rPr>
        <w:t xml:space="preserve">2. Dak  —  score 4/5  —  Hoge urgentie</w:t>
      </w:r>
    </w:p>
    <w:p>
      <w:pPr>
        <w:pStyle w:val="Normal"/>
        <w:spacing w:before="0" w:after="60"/>
      </w:pPr>
      <w:r>
        <w:rPr>
          <w:rFonts w:ascii="Calibri" w:hAnsi="Calibri" w:cs="Calibri"/>
          <w:sz w:val="22"/>
          <w:szCs w:val="22"/>
          <w:color w:val="1D1D1B"/>
        </w:rPr>
        <w:t xml:space="preserve">Aanbevolen maatregel: Dakisolatie</w:t>
      </w:r>
    </w:p>
    <w:p>
      <w:pPr>
        <w:pStyle w:val="Normal"/>
        <w:spacing w:before="0" w:after="60"/>
      </w:pPr>
      <w:r>
        <w:rPr>
          <w:rFonts w:ascii="Calibri" w:hAnsi="Calibri" w:cs="Calibri"/>
          <w:sz w:val="22"/>
          <w:szCs w:val="22"/>
          <w:color w:val="666666"/>
        </w:rPr>
        <w:t xml:space="preserve">Geschatte oppervlakte: ca. 27 m²</w:t>
      </w:r>
    </w:p>
    <w:p>
      <w:pPr>
        <w:pStyle w:val="Normal"/>
        <w:spacing w:before="0" w:after="60"/>
      </w:pPr>
      <w:r>
        <w:rPr>
          <w:rFonts w:ascii="Calibri" w:hAnsi="Calibri" w:cs="Calibri"/>
          <w:sz w:val="22"/>
          <w:szCs w:val="22"/>
          <w:color w:val="1D1D1B"/>
        </w:rPr>
        <w:t xml:space="preserve">Indicatieve besparing: €157–€212 per jaar</w:t>
      </w:r>
    </w:p>
    <w:p>
      <w:pPr>
        <w:pStyle w:val="Normal"/>
        <w:spacing w:before="0" w:after="60"/>
      </w:pPr>
      <w:r>
        <w:rPr>
          <w:rFonts w:ascii="Calibri" w:hAnsi="Calibri" w:cs="Calibri"/>
          <w:sz w:val="22"/>
          <w:szCs w:val="22"/>
          <w:color w:val="1D1D1B"/>
        </w:rPr>
        <w:t xml:space="preserve">Indicatieve investering: €810–€1,755</w:t>
      </w:r>
    </w:p>
    <w:p>
      <w:pPr>
        <w:pStyle w:val="Normal"/>
        <w:spacing w:before="0" w:after="60"/>
      </w:pPr>
      <w:r>
        <w:rPr>
          <w:rFonts w:ascii="Calibri" w:hAnsi="Calibri" w:cs="Calibri"/>
          <w:sz w:val="22"/>
          <w:szCs w:val="22"/>
          <w:color w:val="2E7D32"/>
        </w:rPr>
        <w:t xml:space="preserve">ISDE-subsidie indicatie: tot €439</w:t>
      </w:r>
    </w:p>
    <w:p>
      <w:pPr>
        <w:pStyle w:val="Normal"/>
        <w:spacing w:before="0" w:after="200"/>
      </w:pPr>
      <w:r>
        <w:rPr>
          <w:rFonts w:ascii="Calibri" w:hAnsi="Calibri" w:cs="Calibri"/>
          <w:sz w:val="22"/>
          <w:szCs w:val="22"/>
          <w:color w:val="1D1D1B"/>
        </w:rPr>
        <w:t xml:space="preserve">Terugverdientijd na subsidie: ca. 2–8 jaar</w:t>
      </w:r>
    </w:p>
    <w:p>
      <w:pPr>
        <w:pStyle w:val="Normal"/>
        <w:spacing w:before="0" w:after="60"/>
      </w:pPr>
      <w:r>
        <w:rPr>
          <w:b/>
          <w:rFonts w:ascii="Calibri" w:hAnsi="Calibri" w:cs="Calibri"/>
          <w:sz w:val="22"/>
          <w:szCs w:val="22"/>
          <w:color w:val="5AAA00"/>
        </w:rPr>
        <w:t xml:space="preserve">3. Glas  —  score 4/5  —  Hoge urgentie</w:t>
      </w:r>
    </w:p>
    <w:p>
      <w:pPr>
        <w:pStyle w:val="Normal"/>
        <w:spacing w:before="0" w:after="60"/>
      </w:pPr>
      <w:r>
        <w:rPr>
          <w:rFonts w:ascii="Calibri" w:hAnsi="Calibri" w:cs="Calibri"/>
          <w:sz w:val="22"/>
          <w:szCs w:val="22"/>
          <w:color w:val="1D1D1B"/>
        </w:rPr>
        <w:t xml:space="preserve">Aanbevolen maatregel: HR++ dubbelglas</w:t>
      </w:r>
    </w:p>
    <w:p>
      <w:pPr>
        <w:pStyle w:val="Normal"/>
        <w:spacing w:before="0" w:after="60"/>
      </w:pPr>
      <w:r>
        <w:rPr>
          <w:rFonts w:ascii="Calibri" w:hAnsi="Calibri" w:cs="Calibri"/>
          <w:sz w:val="22"/>
          <w:szCs w:val="22"/>
          <w:color w:val="666666"/>
        </w:rPr>
        <w:t xml:space="preserve">Geschatte oppervlakte: ca. 4 m²</w:t>
      </w:r>
    </w:p>
    <w:p>
      <w:pPr>
        <w:pStyle w:val="Normal"/>
        <w:spacing w:before="0" w:after="60"/>
      </w:pPr>
      <w:r>
        <w:rPr>
          <w:rFonts w:ascii="Calibri" w:hAnsi="Calibri" w:cs="Calibri"/>
          <w:sz w:val="22"/>
          <w:szCs w:val="22"/>
          <w:color w:val="1D1D1B"/>
        </w:rPr>
        <w:t xml:space="preserve">Indicatieve besparing: €125–€170 per jaar</w:t>
      </w:r>
    </w:p>
    <w:p>
      <w:pPr>
        <w:pStyle w:val="Normal"/>
        <w:spacing w:before="0" w:after="60"/>
      </w:pPr>
      <w:r>
        <w:rPr>
          <w:rFonts w:ascii="Calibri" w:hAnsi="Calibri" w:cs="Calibri"/>
          <w:sz w:val="22"/>
          <w:szCs w:val="22"/>
          <w:color w:val="1D1D1B"/>
        </w:rPr>
        <w:t xml:space="preserve">Indicatieve investering: €312–€526</w:t>
      </w:r>
    </w:p>
    <w:p>
      <w:pPr>
        <w:pStyle w:val="Normal"/>
        <w:spacing w:before="0" w:after="60"/>
      </w:pPr>
      <w:r>
        <w:rPr>
          <w:rFonts w:ascii="Calibri" w:hAnsi="Calibri" w:cs="Calibri"/>
          <w:sz w:val="22"/>
          <w:szCs w:val="22"/>
          <w:color w:val="2E7D32"/>
        </w:rPr>
        <w:t xml:space="preserve">ISDE-subsidie indicatie: tot €98</w:t>
      </w:r>
    </w:p>
    <w:p>
      <w:pPr>
        <w:pStyle w:val="Normal"/>
        <w:spacing w:before="0" w:after="200"/>
      </w:pPr>
      <w:r>
        <w:rPr>
          <w:rFonts w:ascii="Calibri" w:hAnsi="Calibri" w:cs="Calibri"/>
          <w:sz w:val="22"/>
          <w:szCs w:val="22"/>
          <w:color w:val="1D1D1B"/>
        </w:rPr>
        <w:t xml:space="preserve">Terugverdientijd na subsidie: ca. 1–3 jaar</w:t>
      </w:r>
    </w:p>
    <w:p>
      <w:pPr>
        <w:pStyle w:val="Normal"/>
        <w:spacing w:before="0" w:after="60"/>
      </w:pPr>
      <w:r>
        <w:rPr>
          <w:b/>
          <w:rFonts w:ascii="Calibri" w:hAnsi="Calibri" w:cs="Calibri"/>
          <w:sz w:val="22"/>
          <w:szCs w:val="22"/>
          <w:color w:val="5AAA00"/>
        </w:rPr>
        <w:t xml:space="preserve">4. Vloer  —  score 4/5  —  Hoge urgentie</w:t>
      </w:r>
    </w:p>
    <w:p>
      <w:pPr>
        <w:pStyle w:val="Normal"/>
        <w:spacing w:before="0" w:after="60"/>
      </w:pPr>
      <w:r>
        <w:rPr>
          <w:rFonts w:ascii="Calibri" w:hAnsi="Calibri" w:cs="Calibri"/>
          <w:sz w:val="22"/>
          <w:szCs w:val="22"/>
          <w:color w:val="1D1D1B"/>
        </w:rPr>
        <w:t xml:space="preserve">Aanbevolen maatregel: Vloerisolatie</w:t>
      </w:r>
    </w:p>
    <w:p>
      <w:pPr>
        <w:pStyle w:val="Normal"/>
        <w:spacing w:before="0" w:after="60"/>
      </w:pPr>
      <w:r>
        <w:rPr>
          <w:rFonts w:ascii="Calibri" w:hAnsi="Calibri" w:cs="Calibri"/>
          <w:sz w:val="22"/>
          <w:szCs w:val="22"/>
          <w:color w:val="666666"/>
        </w:rPr>
        <w:t xml:space="preserve">Geschatte oppervlakte: ca. 24 m²</w:t>
      </w:r>
    </w:p>
    <w:p>
      <w:pPr>
        <w:pStyle w:val="Normal"/>
        <w:spacing w:before="0" w:after="60"/>
      </w:pPr>
      <w:r>
        <w:rPr>
          <w:rFonts w:ascii="Calibri" w:hAnsi="Calibri" w:cs="Calibri"/>
          <w:sz w:val="22"/>
          <w:szCs w:val="22"/>
          <w:color w:val="1D1D1B"/>
        </w:rPr>
        <w:t xml:space="preserve">Indicatieve besparing: €94–€127 per jaar</w:t>
      </w:r>
    </w:p>
    <w:p>
      <w:pPr>
        <w:pStyle w:val="Normal"/>
        <w:spacing w:before="0" w:after="60"/>
      </w:pPr>
      <w:r>
        <w:rPr>
          <w:rFonts w:ascii="Calibri" w:hAnsi="Calibri" w:cs="Calibri"/>
          <w:sz w:val="22"/>
          <w:szCs w:val="22"/>
          <w:color w:val="1D1D1B"/>
        </w:rPr>
        <w:t xml:space="preserve">Indicatieve investering: €612–€1,348</w:t>
      </w:r>
    </w:p>
    <w:p>
      <w:pPr>
        <w:pStyle w:val="Normal"/>
        <w:spacing w:before="0" w:after="60"/>
      </w:pPr>
      <w:r>
        <w:rPr>
          <w:rFonts w:ascii="Calibri" w:hAnsi="Calibri" w:cs="Calibri"/>
          <w:sz w:val="22"/>
          <w:szCs w:val="22"/>
          <w:color w:val="2E7D32"/>
        </w:rPr>
        <w:t xml:space="preserve">ISDE-subsidie indicatie: tot €135</w:t>
      </w:r>
    </w:p>
    <w:p>
      <w:pPr>
        <w:pStyle w:val="Normal"/>
        <w:spacing w:before="0" w:after="160"/>
      </w:pPr>
      <w:r>
        <w:rPr>
          <w:rFonts w:ascii="Calibri" w:hAnsi="Calibri" w:cs="Calibri"/>
          <w:sz w:val="22"/>
          <w:szCs w:val="22"/>
          <w:color w:val="1D1D1B"/>
        </w:rPr>
        <w:t xml:space="preserve">Terugverdientijd na subsidie: ca. 4–13 jaar</w:t>
      </w:r>
    </w:p>
    <w:p>
      <w:pPr>
        <w:pStyle w:val="Normal"/>
        <w:spacing w:before="0" w:after="160"/>
      </w:pPr>
      <w:r>
        <w:rPr>
          <w:rFonts w:ascii="Calibri" w:hAnsi="Calibri" w:cs="Calibri"/>
          <w:sz w:val="22"/>
          <w:szCs w:val="22"/>
          <w:color w:val="999999"/>
        </w:rPr>
        <w:t xml:space="preserve">Financiële indicaties zijn schattingen op basis van bouwjaar en gemiddelde woningkenmerken. Definitieve bedragen hangen af van de werkelijke situatie ter plaatse.</w:t>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Vocht en houtrot: deze woningen zijn vaak 'dampopen' gebouwd zonder spouw of met een zeer smalle spouw. Bij binnenisolatie daalt de temperatuur van de oorspronkelijke muur sterk, met condensatierisico als gevolg. Gebruik vochtregulerende folies (zoals Intello) en dampopen materialen zoals houtvezel of vlas — vermijd volledig dampdichte plastics.</w:t>
      </w:r>
      <w:proofErr w:type="spellStart"/>
      <w:r>
        <w:rPr>
          <w:color w:val="1A2340"/>
        </w:rPr>
        <w:t/>
      </w:r>
      <w:proofErr w:type="spellEnd"/>
      <w:r>
        <w:rPr>
          <w:color w:val="1A2340"/>
        </w:rPr>
        <w:t/>
      </w:r>
    </w:p>
    <w:p>
      <w:pPr>
        <w:spacing w:before="80" w:after="160"/>
      </w:pPr>
      <w:r>
        <w:rPr>
          <w:color w:val="1A2340"/>
        </w:rPr>
        <w:t xml:space="preserve">- Balkkoppen: houten vloerbalken in de buitenmuur worden door binnenisolatie kouder en vochtiger. Dit leidt tot houtrot. Laat dit altijd vooraf beoordelen door een specialist.</w:t>
      </w:r>
    </w:p>
    <w:p>
      <w:pPr>
        <w:spacing w:before="80" w:after="160"/>
      </w:pPr>
      <w:r>
        <w:rPr>
          <w:color w:val="1A2340"/>
        </w:rPr>
        <w:t xml:space="preserve">- Dampdichte buitengevel: controleer of de gevel aan de buitenzijde niet dampdicht is (geglazuurde steen of latexverf), want dan kan vocht niet naar buiten uitdampen.</w:t>
      </w:r>
    </w:p>
    <w:p>
      <w:pPr>
        <w:spacing w:before="80" w:after="160"/>
      </w:pPr>
      <w:r>
        <w:rPr>
          <w:color w:val="1A2340"/>
        </w:rPr>
        <w:t xml:space="preserve">- Binnenklimaat: kieren dichten zonder nieuw ventilatiesysteem maakt de lucht snel vochtig en ongezond. Luchtdichting en gecontroleerde ventilatie moeten samen worden aangepakt.</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456"/>
        <w:gridCol w:w="1457"/>
        <w:gridCol w:w="1457"/>
        <w:gridCol w:w="1456"/>
      </w:tblGrid>
      <w:tr>
        <w:trPr>
          <w:trHeight w:val="400" w:hRule="atLeast"/>
        </w:trPr>
        <w:tc>
          <w:tcPr>
            <w:tcW w:w="3200" w:type="dxa"/>
            <w:shd w:val="clear" w:color="auto" w:fill="5AAA00"/>
          </w:tcPr>
          <w:p>
            <w:r/>
            <w:r>
              <w:rPr>
                <w:rFonts w:ascii="Calibri" w:hAnsi="Calibri"/>
                <w:b/>
                <w:i w:val="0"/>
                <w:color w:val="FFFFFF"/>
                <w:sz w:val="22"/>
              </w:rPr>
              <w:t>Maatregel</w:t>
            </w:r>
          </w:p>
        </w:tc>
        <w:tc>
          <w:tcPr>
            <w:tcW w:w="1456" w:type="dxa"/>
            <w:shd w:val="clear" w:color="auto" w:fill="5AAA00"/>
          </w:tcPr>
          <w:p>
            <w:r/>
            <w:r>
              <w:rPr>
                <w:rFonts w:ascii="Calibri" w:hAnsi="Calibri"/>
                <w:b/>
                <w:i w:val="0"/>
                <w:color w:val="FFFFFF"/>
                <w:sz w:val="22"/>
              </w:rPr>
              <w:t>Enkelvoudig</w:t>
            </w:r>
          </w:p>
        </w:tc>
        <w:tc>
          <w:tcPr>
            <w:tcW w:w="1457" w:type="dxa"/>
            <w:shd w:val="clear" w:color="auto" w:fill="5AAA00"/>
          </w:tcPr>
          <w:p>
            <w:r/>
            <w:r>
              <w:rPr>
                <w:rFonts w:ascii="Calibri" w:hAnsi="Calibri"/>
                <w:b/>
                <w:i w:val="0"/>
                <w:color w:val="FFFFFF"/>
                <w:sz w:val="22"/>
              </w:rPr>
              <w:t>Meervoudig</w:t>
            </w:r>
          </w:p>
        </w:tc>
        <w:tc>
          <w:tcPr>
            <w:tcW w:w="1457" w:type="dxa"/>
            <w:shd w:val="clear" w:color="auto" w:fill="5AAA00"/>
          </w:tcPr>
          <w:p>
            <w:r/>
            <w:r>
              <w:rPr>
                <w:rFonts w:ascii="Calibri" w:hAnsi="Calibri"/>
                <w:b/>
                <w:i w:val="0"/>
                <w:color w:val="FFFFFF"/>
                <w:sz w:val="22"/>
              </w:rPr>
              <w:t>Biobased bonus</w:t>
            </w:r>
          </w:p>
        </w:tc>
        <w:tc>
          <w:tcPr>
            <w:tcW w:w="1456" w:type="dxa"/>
            <w:shd w:val="clear" w:color="auto" w:fill="5AAA00"/>
          </w:tcPr>
          <w:p>
            <w:r/>
            <w:r>
              <w:rPr>
                <w:rFonts w:ascii="Calibri" w:hAnsi="Calibri"/>
                <w:b/>
                <w:i w:val="0"/>
                <w:color w:val="FFFFFF"/>
                <w:sz w:val="22"/>
              </w:rPr>
              <w:t>Min. Rc/Rd</w:t>
            </w:r>
          </w:p>
        </w:tc>
      </w:tr>
      <w:tr>
        <w:trPr>
          <w:trHeight w:val="400" w:hRule="atLeast"/>
        </w:trPr>
        <w:tc>
          <w:tcPr>
            <w:tcW w:type="dxa" w:w="3200"/>
            <w:shd w:val="clear" w:color="auto" w:fill="FFFFFF"/>
          </w:tcPr>
          <w:p>
            <w:r/>
            <w:r>
              <w:rPr>
                <w:rFonts w:ascii="Calibri" w:hAnsi="Calibri"/>
                <w:b/>
                <w:i w:val="0"/>
                <w:color w:val="1D1D1B"/>
                <w:sz w:val="22"/>
              </w:rPr>
              <w:t>Gevelisolatie (binnen/buiten)</w:t>
            </w:r>
          </w:p>
        </w:tc>
        <w:tc>
          <w:tcPr>
            <w:tcW w:type="dxa" w:w="1456"/>
            <w:shd w:val="clear" w:color="auto" w:fill="FFFFFF"/>
          </w:tcPr>
          <w:p>
            <w:r/>
            <w:r>
              <w:rPr>
                <w:rFonts w:ascii="Calibri" w:hAnsi="Calibri"/>
                <w:b w:val="0"/>
                <w:i w:val="0"/>
                <w:color w:val="1D1D1B"/>
                <w:sz w:val="22"/>
              </w:rPr>
              <w:t>€ 10.13/m²</w:t>
            </w:r>
          </w:p>
        </w:tc>
        <w:tc>
          <w:tcPr>
            <w:tcW w:type="dxa" w:w="1457"/>
            <w:shd w:val="clear" w:color="auto" w:fill="FFFFFF"/>
          </w:tcPr>
          <w:p>
            <w:r/>
            <w:r>
              <w:rPr>
                <w:rFonts w:ascii="Calibri" w:hAnsi="Calibri"/>
                <w:b/>
                <w:i w:val="0"/>
                <w:color w:val="1D1D1B"/>
                <w:sz w:val="22"/>
              </w:rPr>
              <w:t>€ 20.25/m²</w:t>
            </w:r>
          </w:p>
        </w:tc>
        <w:tc>
          <w:tcPr>
            <w:tcW w:type="dxa" w:w="1457"/>
            <w:shd w:val="clear" w:color="auto" w:fill="FFFFFF"/>
          </w:tcPr>
          <w:p>
            <w:r/>
            <w:r>
              <w:rPr>
                <w:rFonts w:ascii="Calibri" w:hAnsi="Calibri"/>
                <w:b w:val="0"/>
                <w:i w:val="0"/>
                <w:color w:val="1D1D1B"/>
                <w:sz w:val="22"/>
              </w:rPr>
              <w:t>+ € 6.00/m²</w:t>
            </w:r>
          </w:p>
        </w:tc>
        <w:tc>
          <w:tcPr>
            <w:tcW w:type="dxa" w:w="1456"/>
            <w:shd w:val="clear" w:color="auto" w:fill="FFFFFF"/>
          </w:tcPr>
          <w:p>
            <w:r/>
            <w:r>
              <w:rPr>
                <w:rFonts w:ascii="Calibri" w:hAnsi="Calibri"/>
                <w:b w:val="0"/>
                <w:i w:val="0"/>
                <w:color w:val="1D1D1B"/>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456"/>
            <w:shd w:val="clear" w:color="auto" w:fill="FFFFFF"/>
          </w:tcPr>
          <w:p>
            <w:r/>
            <w:r>
              <w:rPr>
                <w:rFonts w:ascii="Calibri" w:hAnsi="Calibri"/>
                <w:b w:val="0"/>
                <w:i w:val="0"/>
                <w:color w:val="1D1D1B"/>
                <w:sz w:val="22"/>
              </w:rPr>
              <w:t>€ 8.13/m²</w:t>
            </w:r>
          </w:p>
        </w:tc>
        <w:tc>
          <w:tcPr>
            <w:tcW w:type="dxa" w:w="1457"/>
            <w:shd w:val="clear" w:color="auto" w:fill="FFFFFF"/>
          </w:tcPr>
          <w:p>
            <w:r/>
            <w:r>
              <w:rPr>
                <w:rFonts w:ascii="Calibri" w:hAnsi="Calibri"/>
                <w:b/>
                <w:i w:val="0"/>
                <w:color w:val="1D1D1B"/>
                <w:sz w:val="22"/>
              </w:rPr>
              <w:t>€ 16.25/m²</w:t>
            </w:r>
          </w:p>
        </w:tc>
        <w:tc>
          <w:tcPr>
            <w:tcW w:type="dxa" w:w="1457"/>
            <w:shd w:val="clear" w:color="auto" w:fill="FFFFFF"/>
          </w:tcPr>
          <w:p>
            <w:r/>
            <w:r>
              <w:rPr>
                <w:rFonts w:ascii="Calibri" w:hAnsi="Calibri"/>
                <w:b w:val="0"/>
                <w:i w:val="0"/>
                <w:color w:val="1D1D1B"/>
                <w:sz w:val="22"/>
              </w:rPr>
              <w:t>+ € 5.00/m²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Zoldervloerisolatie</w:t>
            </w:r>
          </w:p>
        </w:tc>
        <w:tc>
          <w:tcPr>
            <w:tcW w:type="dxa" w:w="1456"/>
            <w:shd w:val="clear" w:color="auto" w:fill="FFFFFF"/>
          </w:tcPr>
          <w:p>
            <w:r/>
            <w:r>
              <w:rPr>
                <w:rFonts w:ascii="Calibri" w:hAnsi="Calibri"/>
                <w:b w:val="0"/>
                <w:i w:val="0"/>
                <w:color w:val="1D1D1B"/>
                <w:sz w:val="22"/>
              </w:rPr>
              <w:t>€ 2.00/m²</w:t>
            </w:r>
          </w:p>
        </w:tc>
        <w:tc>
          <w:tcPr>
            <w:tcW w:type="dxa" w:w="1457"/>
            <w:shd w:val="clear" w:color="auto" w:fill="FFFFFF"/>
          </w:tcPr>
          <w:p>
            <w:r/>
            <w:r>
              <w:rPr>
                <w:rFonts w:ascii="Calibri" w:hAnsi="Calibri"/>
                <w:b/>
                <w:i w:val="0"/>
                <w:color w:val="1D1D1B"/>
                <w:sz w:val="22"/>
              </w:rPr>
              <w:t>€ 4.00/m²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456"/>
            <w:shd w:val="clear" w:color="auto" w:fill="FFFFFF"/>
          </w:tcPr>
          <w:p>
            <w:r/>
            <w:r>
              <w:rPr>
                <w:rFonts w:ascii="Calibri" w:hAnsi="Calibri"/>
                <w:b w:val="0"/>
                <w:i w:val="0"/>
                <w:color w:val="1D1D1B"/>
                <w:sz w:val="22"/>
              </w:rPr>
              <w:t>€ 2.63/m²</w:t>
            </w:r>
          </w:p>
        </w:tc>
        <w:tc>
          <w:tcPr>
            <w:tcW w:type="dxa" w:w="1457"/>
            <w:shd w:val="clear" w:color="auto" w:fill="FFFFFF"/>
          </w:tcPr>
          <w:p>
            <w:r/>
            <w:r>
              <w:rPr>
                <w:rFonts w:ascii="Calibri" w:hAnsi="Calibri"/>
                <w:b/>
                <w:i w:val="0"/>
                <w:color w:val="1D1D1B"/>
                <w:sz w:val="22"/>
              </w:rPr>
              <w:t>€ 5.25/m²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456"/>
            <w:shd w:val="clear" w:color="auto" w:fill="FFFFFF"/>
          </w:tcPr>
          <w:p>
            <w:r/>
            <w:r>
              <w:rPr>
                <w:rFonts w:ascii="Calibri" w:hAnsi="Calibri"/>
                <w:b w:val="0"/>
                <w:i w:val="0"/>
                <w:color w:val="1D1D1B"/>
                <w:sz w:val="22"/>
              </w:rPr>
              <w:t>€ 2.75/m²</w:t>
            </w:r>
          </w:p>
        </w:tc>
        <w:tc>
          <w:tcPr>
            <w:tcW w:type="dxa" w:w="1457"/>
            <w:shd w:val="clear" w:color="auto" w:fill="FFFFFF"/>
          </w:tcPr>
          <w:p>
            <w:r/>
            <w:r>
              <w:rPr>
                <w:rFonts w:ascii="Calibri" w:hAnsi="Calibri"/>
                <w:b/>
                <w:i w:val="0"/>
                <w:color w:val="1D1D1B"/>
                <w:sz w:val="22"/>
              </w:rPr>
              <w:t>€ 5.50/m²</w:t>
            </w:r>
          </w:p>
        </w:tc>
        <w:tc>
          <w:tcPr>
            <w:tcW w:type="dxa" w:w="1457"/>
            <w:shd w:val="clear" w:color="auto" w:fill="FFFFFF"/>
          </w:tcPr>
          <w:p>
            <w:r/>
            <w:r>
              <w:rPr>
                <w:rFonts w:ascii="Calibri" w:hAnsi="Calibri"/>
                <w:b w:val="0"/>
                <w:i w:val="0"/>
                <w:color w:val="1D1D1B"/>
                <w:sz w:val="22"/>
              </w:rPr>
              <w:t>+ € 2.00/m²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Bodemisolatie (kruipruimte)</w:t>
            </w:r>
          </w:p>
        </w:tc>
        <w:tc>
          <w:tcPr>
            <w:tcW w:type="dxa" w:w="1456"/>
            <w:shd w:val="clear" w:color="auto" w:fill="FFFFFF"/>
          </w:tcPr>
          <w:p>
            <w:r/>
            <w:r>
              <w:rPr>
                <w:rFonts w:ascii="Calibri" w:hAnsi="Calibri"/>
                <w:b w:val="0"/>
                <w:i w:val="0"/>
                <w:color w:val="1D1D1B"/>
                <w:sz w:val="22"/>
              </w:rPr>
              <w:t>€ 1.50/m²</w:t>
            </w:r>
          </w:p>
        </w:tc>
        <w:tc>
          <w:tcPr>
            <w:tcW w:type="dxa" w:w="1457"/>
            <w:shd w:val="clear" w:color="auto" w:fill="FFFFFF"/>
          </w:tcPr>
          <w:p>
            <w:r/>
            <w:r>
              <w:rPr>
                <w:rFonts w:ascii="Calibri" w:hAnsi="Calibri"/>
                <w:b/>
                <w:i w:val="0"/>
                <w:color w:val="1D1D1B"/>
                <w:sz w:val="22"/>
              </w:rPr>
              <w:t>€ 3.00/m²</w:t>
            </w:r>
          </w:p>
        </w:tc>
        <w:tc>
          <w:tcPr>
            <w:tcW w:type="dxa" w:w="1457"/>
            <w:shd w:val="clear" w:color="auto" w:fill="FFFFFF"/>
          </w:tcPr>
          <w:p>
            <w:r/>
            <w:r>
              <w:rPr>
                <w:rFonts w:ascii="Calibri" w:hAnsi="Calibri"/>
                <w:b w:val="0"/>
                <w:i w:val="0"/>
                <w:color w:val="1D1D1B"/>
                <w:sz w:val="22"/>
              </w:rPr>
              <w:t>+ € 1.00/m²</w:t>
            </w:r>
          </w:p>
        </w:tc>
        <w:tc>
          <w:tcPr>
            <w:tcW w:type="dxa" w:w="1456"/>
            <w:shd w:val="clear" w:color="auto" w:fill="FFFFFF"/>
          </w:tcPr>
          <w:p>
            <w:r/>
            <w:r>
              <w:rPr>
                <w:rFonts w:ascii="Calibri" w:hAnsi="Calibri"/>
                <w:b w:val="0"/>
                <w:i w:val="0"/>
                <w:color w:val="1D1D1B"/>
                <w:sz w:val="22"/>
              </w:rPr>
              <w:t>Rc ≥ 1,3 m²K/W</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Type glas</w:t>
            </w:r>
          </w:p>
        </w:tc>
        <w:tc>
          <w:tcPr>
            <w:tcW w:w="1942" w:type="dxa"/>
            <w:shd w:val="clear" w:color="auto" w:fill="5AAA00"/>
          </w:tcPr>
          <w:p>
            <w:r/>
            <w:r>
              <w:rPr>
                <w:rFonts w:ascii="Calibri" w:hAnsi="Calibri"/>
                <w:b/>
                <w:i w:val="0"/>
                <w:color w:val="FFFFFF"/>
                <w:sz w:val="22"/>
              </w:rPr>
              <w:t>Enkelvoudig</w:t>
            </w:r>
          </w:p>
        </w:tc>
        <w:tc>
          <w:tcPr>
            <w:tcW w:w="1942" w:type="dxa"/>
            <w:shd w:val="clear" w:color="auto" w:fill="5AAA00"/>
          </w:tcPr>
          <w:p>
            <w:r/>
            <w:r>
              <w:rPr>
                <w:rFonts w:ascii="Calibri" w:hAnsi="Calibri"/>
                <w:b/>
                <w:i w:val="0"/>
                <w:color w:val="FFFFFF"/>
                <w:sz w:val="22"/>
              </w:rPr>
              <w:t>Meervoudig</w:t>
            </w:r>
          </w:p>
        </w:tc>
        <w:tc>
          <w:tcPr>
            <w:tcW w:w="1942"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tcPr>
          <w:p>
            <w:r/>
            <w:r>
              <w:rPr>
                <w:rFonts w:ascii="Calibri" w:hAnsi="Calibri"/>
                <w:b w:val="0"/>
                <w:i w:val="0"/>
                <w:color w:val="999999"/>
                <w:sz w:val="22"/>
              </w:rPr>
              <w:t>Triple glas</w:t>
            </w:r>
          </w:p>
        </w:tc>
        <w:tc>
          <w:tcPr>
            <w:tcW w:type="dxa" w:w="1942"/>
          </w:tcPr>
          <w:p>
            <w:r/>
            <w:r>
              <w:rPr>
                <w:rFonts w:ascii="Calibri" w:hAnsi="Calibri"/>
                <w:b w:val="0"/>
                <w:i w:val="0"/>
                <w:color w:val="999999"/>
                <w:sz w:val="22"/>
              </w:rPr>
              <w:t>€ 55.50/m²</w:t>
            </w:r>
          </w:p>
        </w:tc>
        <w:tc>
          <w:tcPr>
            <w:tcW w:type="dxa" w:w="1942"/>
          </w:tcPr>
          <w:p>
            <w:r/>
            <w:r>
              <w:rPr>
                <w:rFonts w:ascii="Calibri" w:hAnsi="Calibri"/>
                <w:b w:val="0"/>
                <w:i w:val="0"/>
                <w:color w:val="999999"/>
                <w:sz w:val="22"/>
              </w:rPr>
              <w:t>€ 111.00/m²</w:t>
            </w:r>
          </w:p>
        </w:tc>
        <w:tc>
          <w:tcPr>
            <w:tcW w:type="dxa" w:w="1942"/>
          </w:tcPr>
          <w:p>
            <w:r/>
            <w:r>
              <w:rPr>
                <w:rFonts w:ascii="Calibri" w:hAnsi="Calibri"/>
                <w:b w:val="0"/>
                <w:i w:val="0"/>
                <w:color w:val="999999"/>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Door isolatie te combineren met een warmtepomp verdubbelt het isolatiesubsidie automatisch naar het meervoudige tarief.</w:t>
            </w:r>
          </w:p>
        </w:tc>
      </w:tr>
    </w:tbl>
    <w:p/>
    <w:tbl>
      <w:tblPr>
        <w:tblW w:type="auto" w:w="0"/>
        <w:tblLook w:firstColumn="1" w:firstRow="1" w:lastColumn="0" w:lastRow="0" w:noHBand="0" w:noVBand="1" w:val="04A0"/>
      </w:tblPr>
      <w:tblGrid>
        <w:gridCol w:w="9638"/>
      </w:tblGrid>
      <w:tr>
        <w:trPr>
          <w:trHeight w:val="400" w:hRule="atLeast"/>
        </w:trPr>
        <w:tc>
          <w:tcPr>
            <w:tcW w:type="dxa" w:w="9638"/>
            <w:shd w:val="clear" w:color="auto" w:fill="FFFFFF"/>
          </w:tcPr>
          <w:p>
            <w:r/>
            <w:r>
              <w:rPr>
                <w:rFonts w:ascii="Calibri" w:hAnsi="Calibri"/>
                <w:b/>
                <w:i w:val="0"/>
                <w:color w:val="2E7D32"/>
                <w:sz w:val="22"/>
              </w:rPr>
              <w:t>Indicatief ISDE-subsidietotaal voor uw woning: tot €1,168 (meervoudig tarief 2026, op basis van geschatte oppervlaktes)</w:t>
            </w:r>
          </w:p>
        </w:tc>
      </w:tr>
      <w:tr>
        <w:tc>
          <w:tcPr>
            <w:tcW w:type="dxa" w:w="9638"/>
            <w:shd w:val="clear" w:color="auto" w:fill="FFFFFF"/>
          </w:tcPr>
          <w:p>
            <w:r/>
            <w:r>
              <w:rPr>
                <w:rFonts w:ascii="Calibri" w:hAnsi="Calibri"/>
                <w:b w:val="0"/>
                <w:i/>
                <w:sz w:val="22"/>
              </w:rPr>
              <w:t>Let op: Massieve muren (vóór ~1930) komen niet in aanmerking voor spouwmuursubsidie. Gevelisolatie (binnen of buiten) is dan de aangewezen route.</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Vraag nu een vrijblijvende offerte aan — inclusief subsidiecheck en aanvraagafhandeling</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https://www.pandiq.nl/offerte</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AA5" w14:textId="77777777" w:rsidR="00365966" w:rsidRDefault="00365966">
      <w:r>
        <w:separator/>
      </w:r>
    </w:p>
  </w:endnote>
  <w:endnote w:type="continuationSeparator" w:id="0">
    <w:p w14:paraId="769193EB" w14:textId="77777777" w:rsidR="00365966" w:rsidRDefault="0036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396C" w14:textId="77777777" w:rsidR="00365966" w:rsidRDefault="00365966">
      <w:r>
        <w:separator/>
      </w:r>
    </w:p>
  </w:footnote>
  <w:footnote w:type="continuationSeparator" w:id="0">
    <w:p w14:paraId="1533F94D" w14:textId="77777777" w:rsidR="00365966" w:rsidRDefault="0036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256F"/>
    <w:rsid w:val="004F5903"/>
    <w:rsid w:val="004F7575"/>
    <w:rsid w:val="005067D6"/>
    <w:rsid w:val="00574344"/>
    <w:rsid w:val="00576084"/>
    <w:rsid w:val="00590594"/>
    <w:rsid w:val="00596724"/>
    <w:rsid w:val="005A7760"/>
    <w:rsid w:val="005C625F"/>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592</Words>
  <Characters>3259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68</cp:revision>
  <dcterms:created xsi:type="dcterms:W3CDTF">2026-03-19T12:48:00Z</dcterms:created>
  <dcterms:modified xsi:type="dcterms:W3CDTF">2026-04-06T08:36:00Z</dcterms:modified>
</cp:coreProperties>
</file>