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left w:val="none"/>
          <w:bottom w:val="none"/>
          <w:right w:val="none"/>
          <w:insideH w:val="none"/>
          <w:insideV w:val="none"/>
        </w:tblBorders>
      </w:tblPr>
      <w:tblGrid>
        <w:gridCol w:w="9026"/>
      </w:tblGrid>
      <w:tr>
        <w:trPr>
          <w:trHeight w:val="1600" w:hRule="atLeast"/>
        </w:trPr>
        <w:tc>
          <w:tcPr>
            <w:tcW w:w="5000" w:type="pct"/>
            <w:shd w:val="clear" w:color="auto" w:fill="1A1A1A"/>
            <w:tcMar>
              <w:top w:w="240" w:type="dxa"/>
              <w:left w:w="360" w:type="dxa"/>
              <w:bottom w:w="240" w:type="dxa"/>
              <w:right w:w="360" w:type="dxa"/>
            </w:tcMar>
          </w:tcPr>
          <w:p>
            <w:pPr>
              <w:spacing w:before="0" w:after="80"/>
              <w:shd w:val="clear" w:color="auto" w:fill="1A1A1A"/>
            </w:pPr>
            <w:r>
              <w:rPr>
                <w:b/>
                <w:rFonts w:ascii="Calibri" w:hAnsi="Calibri" w:cs="Calibri"/>
                <w:sz w:val="60"/>
                <w:szCs w:val="60"/>
                <w:color w:val="FFFFFF"/>
              </w:rPr>
              <w:t xml:space="preserve">Pand</w:t>
            </w:r>
            <w:r>
              <w:rPr>
                <w:b/>
                <w:rFonts w:ascii="Calibri" w:hAnsi="Calibri" w:cs="Calibri"/>
                <w:sz w:val="60"/>
                <w:szCs w:val="60"/>
                <w:color w:val="5AAA00"/>
              </w:rPr>
              <w:t xml:space="preserve">IQ</w:t>
            </w:r>
          </w:p>
          <w:p>
            <w:pPr>
              <w:spacing w:before="0" w:after="0"/>
              <w:shd w:val="clear" w:color="auto" w:fill="1A1A1A"/>
            </w:pPr>
            <w:r>
              <w:rPr>
                <w:b/>
                <w:rFonts w:ascii="Calibri" w:hAnsi="Calibri" w:cs="Calibri"/>
                <w:sz w:val="18"/>
                <w:szCs w:val="18"/>
                <w:color w:val="5AAA00"/>
                <w:spacing w:val="40"/>
              </w:rPr>
              <w:t xml:space="preserve">WONEN</w:t>
            </w:r>
          </w:p>
        </w:tc>
      </w:tr>
    </w:tbl>
    <w:tbl>
      <w:tblPr>
        <w:tblW w:w="5000" w:type="pct"/>
        <w:tblBorders>
          <w:top w:val="none"/>
          <w:left w:val="none"/>
          <w:bottom w:val="none"/>
          <w:right w:val="none"/>
          <w:insideH w:val="none"/>
          <w:insideV w:val="none"/>
        </w:tblBorders>
      </w:tblPr>
      <w:tblGrid>
        <w:gridCol w:w="9026"/>
      </w:tblGrid>
      <w:tr>
        <w:trPr>
          <w:trHeight w:val="100" w:hRule="atLeast"/>
        </w:trPr>
        <w:tc>
          <w:tcPr>
            <w:tcW w:w="5000" w:type="pct"/>
            <w:shd w:val="clear" w:color="auto" w:fill="D4E832"/>
            <w:tcMar>
              <w:top w:w="240" w:type="dxa"/>
              <w:left w:w="360" w:type="dxa"/>
              <w:bottom w:w="240" w:type="dxa"/>
              <w:right w:w="360" w:type="dxa"/>
            </w:tcMar>
          </w:tcPr>
          <w:p>
            <w:pPr>
              <w:spacing w:before="0" w:after="0"/>
              <w:shd w:val="clear" w:color="auto" w:fill="D4E832"/>
            </w:pPr>
          </w:p>
        </w:tc>
      </w:tr>
    </w:tbl>
    <w:p>
      <w:pPr>
        <w:spacing w:before="600" w:after="0"/>
      </w:pPr>
    </w:p>
    <w:p>
      <w:pPr>
        <w:spacing w:before="0" w:after="120"/>
      </w:pPr>
      <w:r>
        <w:rPr>
          <w:b/>
          <w:rFonts w:ascii="Calibri" w:hAnsi="Calibri" w:cs="Calibri"/>
          <w:sz w:val="64"/>
          <w:szCs w:val="64"/>
          <w:color w:val="1A1A1A"/>
        </w:rPr>
        <w:t xml:space="preserve">Isolatie Quickscan</w:t>
      </w:r>
    </w:p>
    <w:p>
      <w:pPr>
        <w:spacing w:before="0" w:after="0"/>
      </w:pPr>
      <w:r>
        <w:rPr>
          <w:rFonts w:ascii="Calibri" w:hAnsi="Calibri" w:cs="Calibri"/>
          <w:sz w:val="26"/>
          <w:szCs w:val="26"/>
          <w:color w:val="666666"/>
        </w:rPr>
        <w:t xml:space="preserve">Energierapport verduurzaming</w:t>
      </w:r>
    </w:p>
    <w:p>
      <w:pPr>
        <w:spacing w:before="640" w:after="0"/>
      </w:pPr>
    </w:p>
    <w:p>
      <w:pPr>
        <w:spacing w:before="0" w:after="80"/>
      </w:pPr>
      <w:r>
        <w:rPr>
          <w:b/>
          <w:rFonts w:ascii="Calibri" w:hAnsi="Calibri" w:cs="Calibri"/>
          <w:sz w:val="28"/>
          <w:szCs w:val="28"/>
          <w:color w:val="1A1A1A"/>
        </w:rPr>
        <w:t xml:space="preserve">Joeswerd 107, 9746CR Groningen</w:t>
      </w:r>
    </w:p>
    <w:p>
      <w:pPr>
        <w:spacing w:before="0" w:after="0"/>
      </w:pPr>
      <w:r>
        <w:rPr>
          <w:rFonts w:ascii="Calibri" w:hAnsi="Calibri" w:cs="Calibri"/>
          <w:sz w:val="22"/>
          <w:szCs w:val="22"/>
          <w:color w:val="666666"/>
        </w:rPr>
        <w:t xml:space="preserve">30 april 2026</w:t>
      </w:r>
    </w:p>
    <w:p>
      <w:pPr>
        <w:spacing w:before="800" w:after="0"/>
      </w:pPr>
    </w:p>
    <w:p>
      <w:pPr>
        <w:spacing w:before="0" w:after="0"/>
      </w:pPr>
      <w:r>
        <w:rPr>
          <w:rFonts w:ascii="Calibri" w:hAnsi="Calibri" w:cs="Calibri"/>
          <w:sz w:val="18"/>
          <w:szCs w:val="18"/>
          <w:color w:val="999999"/>
        </w:rPr>
        <w:t xml:space="preserve">Indicatief rapport op basis van openbare registraties (BAG &amp; EP-Online)</w:t>
      </w:r>
    </w:p>
    <w:p>
      <w:pPr>
        <w:spacing w:before="0" w:after="0"/>
      </w:pPr>
      <w:r>
        <w:br w:type="page"/>
      </w:r>
    </w:p>
    <w:p w14:paraId="0C23B77F" w14:textId="453118D2" w:rsidR="00B346C3" w:rsidRPr="00DC422D" w:rsidRDefault="00B346C3" w:rsidP="00B346C3">
      <w:pPr>
        <w:pStyle w:val="Kop1"/>
        <w:pBdr>
          <w:bottom w:val="single" w:sz="4" w:space="4" w:color="2E6BE6"/>
        </w:pBdr>
        <w:rPr>
          <w:color w:val="5AAA00"/>
        </w:rPr>
      </w:pPr>
      <w:r w:rsidRPr="00DC422D">
        <w:rPr>
          <w:color w:val="5AAA00"/>
        </w:rPr>
        <w:lastRenderedPageBreak/>
        <w:t>Interpretatie en context</w:t>
      </w:r>
    </w:p>
    <w:p w14:paraId="51434200" w14:textId="77777777" w:rsidR="00B346C3" w:rsidRPr="00DC422D" w:rsidRDefault="00B346C3" w:rsidP="00B346C3">
      <w:pPr>
        <w:spacing w:before="160" w:after="80"/>
        <w:rPr>
          <w:color w:val="5AAA00"/>
        </w:rPr>
      </w:pPr>
      <w:r w:rsidRPr="00DC422D">
        <w:rPr>
          <w:b/>
          <w:bCs/>
          <w:color w:val="5AAA00"/>
        </w:rPr>
        <w:t>Gebouwprofiel</w:t>
      </w:r>
    </w:p>
    <w:p w14:paraId="1C47E30D" w14:textId="77777777" w:rsidR="00B346C3" w:rsidRDefault="00B346C3" w:rsidP="00B346C3">
      <w:pPr>
        <w:spacing w:before="60" w:after="160"/>
        <w:rPr>
          <w:color w:val="1A2340"/>
        </w:rPr>
      </w:pPr>
      <w:r>
        <w:rPr>
          <w:color w:val="1A2340"/>
        </w:rPr>
        <w:t xml:space="preserve">Uw woning uit 2006 (rijwoning tussen) heeft een sterke gebouwschil. Via de ISDE is mogelijk een startbedrag van €1,025 plus €225 per kW vermogen beschikbaar voor een warmtepomp. Ontdek of uw woning klaar is voor gasloos wonen via www.pandiq.nl.</w:t>
      </w:r>
    </w:p>
    <w:p>
      <w:pPr>
        <w:spacing w:before="120" w:after="120"/>
        <w:rPr>
          <w:color w:val="1A2340"/>
        </w:rPr>
      </w:pPr>
    </w:p>
    <w:p>
      <w:pPr>
        <w:spacing w:before="60" w:after="160"/>
        <w:rPr>
          <w:color w:val="1A2340"/>
        </w:rPr>
      </w:pPr>
      <w:r>
        <w:rPr>
          <w:color w:val="1A2340"/>
        </w:rPr>
        <w:t xml:space="preserve">Dit rapport is opgesteld op basis van openbare registraties (BAG en EP-Online) voor Joeswerd 107, 9746CR Groningen. Het betreft een rijwoning tussen. De woning is gebouwd in 2006. Het geregistreerde energielabel is A+, geldig tot 23 september 2035.</w:t>
      </w:r>
    </w:p>
    <w:p w14:paraId="09706817" w14:textId="77777777" w:rsidR="000D3833" w:rsidRDefault="000D3833" w:rsidP="00B346C3">
      <w:pPr>
        <w:spacing w:before="60" w:after="160"/>
      </w:pPr>
    </w:p>
    <w:p w14:paraId="0CDE3687" w14:textId="77777777" w:rsidR="00B346C3" w:rsidRDefault="00B346C3" w:rsidP="001A4658">
      <w:pPr>
        <w:pBdr>
          <w:bottom w:val="single" w:sz="2" w:space="0" w:color="D0D8EC"/>
        </w:pBdr>
        <w:spacing w:before="160" w:after="160"/>
      </w:pPr>
    </w:p>
    <w:p w14:paraId="43DE937D" w14:textId="77777777" w:rsidR="00B346C3" w:rsidRPr="00DC422D" w:rsidRDefault="00B346C3" w:rsidP="00B346C3">
      <w:pPr>
        <w:spacing w:before="160" w:after="80"/>
        <w:rPr>
          <w:color w:val="5AAA00"/>
        </w:rPr>
      </w:pPr>
      <w:r w:rsidRPr="00DC422D">
        <w:rPr>
          <w:b/>
          <w:bCs/>
          <w:color w:val="5AAA00"/>
        </w:rPr>
        <w:t>Energieprestatie</w:t>
      </w:r>
    </w:p>
    <w:p w14:paraId="49A18587" w14:textId="52D4F140" w:rsidR="00482D26" w:rsidRPr="00D31BA8" w:rsidRDefault="00482D26" w:rsidP="00482D26">
      <w:pPr>
        <w:spacing w:before="60" w:after="160"/>
      </w:pPr>
      <w:r w:rsidRPr="00D31BA8">
        <w:t>De energieprestatie van uw woning wordt onder andere bepaald door twee begrippen: energiebehoefte en warmtebehoefte.</w:t>
      </w:r>
    </w:p>
    <w:p w14:paraId="548C63C9" w14:textId="77777777" w:rsidR="00482D26" w:rsidRPr="00D31BA8" w:rsidRDefault="00482D26" w:rsidP="00482D26">
      <w:pPr>
        <w:spacing w:before="60" w:after="160"/>
      </w:pPr>
      <w:r w:rsidRPr="00D31BA8">
        <w:rPr>
          <w:b/>
          <w:bCs/>
        </w:rPr>
        <w:t>Warmtebehoefte</w:t>
      </w:r>
      <w:r w:rsidRPr="00D31BA8">
        <w:t xml:space="preserve"> geeft aan hoeveel warmte uw woning nodig heeft om comfortabel op temperatuur te blijven. Dit zegt vooral iets over de kwaliteit van de isolatie en de gebouwschil.</w:t>
      </w:r>
    </w:p>
    <w:p w14:paraId="28DCFB66" w14:textId="77777777" w:rsidR="00482D26" w:rsidRPr="00D31BA8" w:rsidRDefault="00482D26" w:rsidP="00482D26">
      <w:pPr>
        <w:spacing w:before="60" w:after="160"/>
      </w:pPr>
      <w:r w:rsidRPr="00D31BA8">
        <w:rPr>
          <w:b/>
          <w:bCs/>
        </w:rPr>
        <w:t>Energiebehoefte</w:t>
      </w:r>
      <w:r w:rsidRPr="00D31BA8">
        <w:t xml:space="preserve"> is breder en omvat het totale energieverbruik van de woning. Dit is dus inclusief verwarming, maar ook warm water en ventilatie.</w:t>
      </w:r>
    </w:p>
    <w:p w14:paraId="40A548AE" w14:textId="1B3E0D93" w:rsidR="00482D26" w:rsidRPr="00482D26" w:rsidRDefault="00482D26" w:rsidP="00482D26">
      <w:pPr>
        <w:spacing w:before="60" w:after="160"/>
        <w:rPr>
          <w:color w:val="1A2340"/>
        </w:rPr>
      </w:pPr>
      <w:r w:rsidRPr="00482D26">
        <w:rPr>
          <w:color w:val="1A2340"/>
        </w:rPr>
        <w:t>Kort gezegd:</w:t>
      </w:r>
    </w:p>
    <w:p w14:paraId="1FE1FFC6" w14:textId="77777777" w:rsidR="00482D26" w:rsidRPr="00482D26" w:rsidRDefault="00482D26" w:rsidP="00482D26">
      <w:pPr>
        <w:numPr>
          <w:ilvl w:val="0"/>
          <w:numId w:val="3"/>
        </w:numPr>
        <w:spacing w:before="60" w:after="160"/>
        <w:rPr>
          <w:color w:val="1A2340"/>
        </w:rPr>
      </w:pPr>
      <w:r w:rsidRPr="00482D26">
        <w:rPr>
          <w:color w:val="1A2340"/>
        </w:rPr>
        <w:t xml:space="preserve">Warmtebehoefte = hoe goed uw woning warmte vasthoudt </w:t>
      </w:r>
    </w:p>
    <w:p w14:paraId="3C1E0A20" w14:textId="77777777" w:rsidR="00482D26" w:rsidRPr="00482D26" w:rsidRDefault="00482D26" w:rsidP="00482D26">
      <w:pPr>
        <w:numPr>
          <w:ilvl w:val="0"/>
          <w:numId w:val="3"/>
        </w:numPr>
        <w:spacing w:before="60" w:after="160"/>
        <w:rPr>
          <w:color w:val="1A2340"/>
        </w:rPr>
      </w:pPr>
      <w:r w:rsidRPr="00482D26">
        <w:rPr>
          <w:color w:val="1A2340"/>
        </w:rPr>
        <w:t>Energiebehoefte = hoeveel energie u totaal nodig heeft</w:t>
      </w:r>
    </w:p>
    <w:p w14:paraId="7C56FC14" w14:textId="4C66CD3C" w:rsidR="00E71661" w:rsidRDefault="001D0978" w:rsidP="00E71661">
      <w:pPr>
        <w:pBdr>
          <w:bottom w:val="single" w:sz="2" w:space="0" w:color="D0D8EC"/>
        </w:pBdr>
        <w:spacing w:before="160" w:after="160"/>
        <w:rPr>
          <w:color w:val="1A2340"/>
        </w:rPr>
      </w:pPr>
      <w:r>
        <w:rPr>
          <w:color w:val="1A2340"/>
        </w:rPr>
        <w:br/>
        <w:t xml:space="preserve">Uw woning:De geregistreerde energiebehoefte bedraagt 80 kWh per m² per jaar. De warmtebehoefte is 73 kWh per m² per jaar. Dit wijst op een efficiënte gebouwschil. Grote isolatiemaatregelen zijn waarschijnlijk niet de eerste prioriteit; optimalisatie van installaties is effectiever. Energielabel A+ bevestigt de goede prestatie van deze woning.</w:t>
      </w:r>
      <w:r w:rsidRPr="001D0978">
        <w:rPr>
          <w:b/>
          <w:bCs/>
          <w:color w:val="1A2340"/>
        </w:rPr>
        <w:t/>
      </w:r>
      <w:r>
        <w:rPr>
          <w:b/>
          <w:bCs/>
          <w:color w:val="1A2340"/>
        </w:rPr>
        <w:t/>
      </w:r>
      <w:r w:rsidR="00482D26">
        <w:rPr>
          <w:color w:val="1A2340"/>
        </w:rPr>
        <w:br/>
      </w:r>
      <w:r w:rsidR="00482D26">
        <w:rPr>
          <w:color w:val="1A2340"/>
        </w:rPr>
        <w:br/>
      </w:r>
      <w:r w:rsidR="00B346C3">
        <w:rPr>
          <w:color w:val="1A2340"/>
        </w:rPr>
        <w:t/>
      </w:r>
    </w:p>
    <w:p w14:paraId="056A4AC1" w14:textId="77777777" w:rsidR="00856B11" w:rsidRDefault="00856B11" w:rsidP="00E71661">
      <w:pPr>
        <w:pBdr>
          <w:bottom w:val="single" w:sz="2" w:space="0" w:color="D0D8EC"/>
        </w:pBdr>
        <w:spacing w:before="160" w:after="160"/>
      </w:pPr>
    </w:p>
    <w:p w14:paraId="67735812" w14:textId="30117A9C" w:rsidR="004F5903" w:rsidRPr="00DC422D" w:rsidRDefault="004F5903" w:rsidP="00E71661">
      <w:pPr>
        <w:spacing w:before="60" w:after="160"/>
        <w:rPr>
          <w:b/>
          <w:bCs/>
          <w:color w:val="5AAA00"/>
        </w:rPr>
      </w:pPr>
      <w:r w:rsidRPr="00DC422D">
        <w:rPr>
          <w:b/>
          <w:bCs/>
          <w:color w:val="5AAA00"/>
        </w:rPr>
        <w:t>Basis en totstandkoming van dit rapport</w:t>
      </w:r>
    </w:p>
    <w:p w14:paraId="3D1B82C7" w14:textId="77777777" w:rsidR="00332452" w:rsidRDefault="004F5903" w:rsidP="004F5903">
      <w:pPr>
        <w:spacing w:before="60" w:after="160"/>
        <w:rPr>
          <w:color w:val="1A2340"/>
        </w:rPr>
      </w:pPr>
      <w:r w:rsidRPr="004F5903">
        <w:rPr>
          <w:color w:val="1A2340"/>
        </w:rPr>
        <w:t xml:space="preserve">Dit rapport is automatisch samengesteld op basis van openbare gegevens uit onder andere de Basisregistratie Adressen en Gebouwen (BAG) en EP-online, aangevuld met algemene kennis en praktijkervaring op het gebied van verduurzaming. Op basis hiervan is een inschatting gemaakt van het gebouwprofiel en mogelijke verbeterkansen. </w:t>
      </w:r>
    </w:p>
    <w:p w14:paraId="013E5372" w14:textId="77777777" w:rsidR="00F4351A" w:rsidRPr="00F4351A" w:rsidRDefault="00F4351A" w:rsidP="00F4351A">
      <w:pPr>
        <w:spacing w:before="60" w:after="160"/>
        <w:rPr>
          <w:color w:val="1A2340"/>
        </w:rPr>
      </w:pPr>
      <w:r w:rsidRPr="00F4351A">
        <w:rPr>
          <w:color w:val="1A2340"/>
        </w:rPr>
        <w:t>Financiële indicaties zijn schattingen op basis van bouwjaar en gemiddelde woningkenmerken. Definitieve bedragen hangen af van de werkelijke situatie ter plaatse.</w:t>
      </w:r>
    </w:p>
    <w:p w14:paraId="6DB96B8C" w14:textId="77777777" w:rsidR="001C4D44" w:rsidRDefault="004F5903" w:rsidP="004F5903">
      <w:pPr>
        <w:spacing w:before="60" w:after="160"/>
        <w:rPr>
          <w:color w:val="1A2340"/>
        </w:rPr>
      </w:pPr>
      <w:r w:rsidRPr="004F5903">
        <w:rPr>
          <w:color w:val="1A2340"/>
        </w:rPr>
        <w:t>De informatie is bedoeld als eerste inzicht en kan afwijken van de werkelijke situatie. Wij adviseren om v</w:t>
      </w:r>
      <w:r w:rsidR="001C4D44">
        <w:rPr>
          <w:color w:val="1A2340"/>
        </w:rPr>
        <w:t>oo</w:t>
      </w:r>
      <w:r w:rsidRPr="004F5903">
        <w:rPr>
          <w:color w:val="1A2340"/>
        </w:rPr>
        <w:t xml:space="preserve">r het nemen van beslissingen aanvullend onderzoek te doen. </w:t>
      </w:r>
    </w:p>
    <w:p w14:paraId="4F069FA7" w14:textId="609F5098" w:rsidR="004F5903" w:rsidRPr="004F5903" w:rsidRDefault="004F5903" w:rsidP="004F5903">
      <w:pPr>
        <w:spacing w:before="60" w:after="160"/>
        <w:rPr>
          <w:color w:val="1A2340"/>
        </w:rPr>
      </w:pPr>
      <w:r w:rsidRPr="004F5903">
        <w:rPr>
          <w:color w:val="1A2340"/>
        </w:rPr>
        <w:t>Aan dit rapport kunnen geen rechten worden ontleend</w:t>
      </w:r>
      <w:r w:rsidR="001C4D44">
        <w:rPr>
          <w:color w:val="1A2340"/>
        </w:rPr>
        <w:t>,</w:t>
      </w:r>
      <w:r w:rsidRPr="004F5903">
        <w:rPr>
          <w:color w:val="1A2340"/>
        </w:rPr>
        <w:t xml:space="preserve"> de gegevens kunnen onvolledig of onjuist zijn en PandIQ is niet aansprakelijk voor eventuele fouten of gevolgen van gebruik.</w:t>
      </w:r>
    </w:p>
    <w:p w14:paraId="12EECA49" w14:textId="79294D01" w:rsidR="004F5903" w:rsidRDefault="007A64CB">
      <w:pPr>
        <w:rPr>
          <w:b/>
          <w:bCs/>
          <w:color w:val="0B1F3A"/>
          <w:sz w:val="28"/>
          <w:szCs w:val="28"/>
        </w:rPr>
      </w:pPr>
      <w:r>
        <w:rPr>
          <w:b/>
          <w:bCs/>
          <w:color w:val="0B1F3A"/>
          <w:sz w:val="28"/>
          <w:szCs w:val="28"/>
        </w:rPr>
        <w:br w:type="page"/>
      </w:r>
    </w:p>
    <w:p w14:paraId="3D941061" w14:textId="77777777" w:rsidR="00B346C3" w:rsidRDefault="00B346C3">
      <w:pPr>
        <w:rPr>
          <w:b/>
          <w:bCs/>
          <w:color w:val="0B1F3A"/>
          <w:sz w:val="28"/>
          <w:szCs w:val="28"/>
        </w:rPr>
      </w:pPr>
    </w:p>
    <w:p w14:paraId="6D6ED468" w14:textId="5CED601F" w:rsidR="0072010A" w:rsidRPr="00DD12FD" w:rsidRDefault="00B346C3">
      <w:pPr>
        <w:pStyle w:val="Kop1"/>
        <w:pBdr>
          <w:bottom w:val="single" w:sz="4" w:space="4" w:color="2E6BE6"/>
        </w:pBdr>
        <w:rPr>
          <w:color w:val="2E6BE6"/>
        </w:rPr>
      </w:pPr>
      <w:r w:rsidRPr="00DC422D">
        <w:rPr>
          <w:color w:val="5AAA00"/>
        </w:rPr>
        <w:t>Woninggegevens</w:t>
      </w:r>
    </w:p>
    <w:p w14:paraId="6D6ED469" w14:textId="77777777" w:rsidR="0072010A" w:rsidRPr="00D31BA8" w:rsidRDefault="00B346C3">
      <w:pPr>
        <w:spacing w:before="60" w:after="60"/>
      </w:pPr>
      <w:r w:rsidRPr="00D31BA8">
        <w:t>Onderstaande gegevens zijn afkomstig uit de Basisregistratie Adressen en Gebouwen (BAG) en de landelijke energielabelregistratie EP-Online.</w:t>
      </w:r>
    </w:p>
    <w:p w14:paraId="6D6ED46A" w14:textId="77777777" w:rsidR="0072010A" w:rsidRDefault="0072010A">
      <w:pPr>
        <w:spacing w:before="120" w:after="120"/>
      </w:pPr>
    </w:p>
    <w:tbl>
      <w:tblPr>
        <w:tblW w:w="5245" w:type="dxa"/>
        <w:tblBorders>
          <w:top w:val="single" w:sz="4" w:space="0" w:color="FFFFFF" w:themeColor="background1"/>
          <w:bottom w:val="single" w:sz="4" w:space="0" w:color="FFFFFF" w:themeColor="background1"/>
          <w:insideH w:val="single" w:sz="4" w:space="0" w:color="FFFFFF" w:themeColor="background1"/>
        </w:tblBorders>
        <w:tblCellMar>
          <w:left w:w="10" w:type="dxa"/>
          <w:right w:w="10" w:type="dxa"/>
        </w:tblCellMar>
        <w:tblLook w:val="0000" w:firstRow="0" w:lastRow="0" w:firstColumn="0" w:lastColumn="0" w:noHBand="0" w:noVBand="0"/>
      </w:tblPr>
      <w:tblGrid>
        <w:gridCol w:w="2410"/>
        <w:gridCol w:w="2835"/>
      </w:tblGrid>
      <w:tr>
        <w:tc>
          <w:tcPr>
            <w:gridSpan w:val="2"/>
            <w:shd w:val="clear" w:color="auto" w:fill="5AAA00"/>
          </w:tcPr>
          <w:p>
            <w:r>
              <w:rPr>
                <w:rFonts w:ascii="Calibri" w:hAnsi="Calibri" w:cs="Calibri"/>
                <w:b/>
                <w:color w:val="FFFFFF"/>
                <w:sz w:val="22"/>
                <w:szCs w:val="22"/>
              </w:rPr>
              <w:t>Woninggegevens</w:t>
            </w:r>
          </w:p>
        </w:tc>
      </w:tr>
      <w:tr w:rsidR="0072010A" w14:paraId="6D6ED46D"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B" w14:textId="77777777" w:rsidR="0072010A" w:rsidRPr="00AF5A6E" w:rsidRDefault="00B346C3">
            <w:r w:rsidRPr="00AF5A6E">
              <w:rPr>
                <w:rFonts w:ascii="Calibri" w:hAnsi="Calibri"/>
                <w:b/>
                <w:bCs/>
                <w:color w:val="1F2937"/>
                <w:sz w:val="22"/>
                <w:szCs w:val="20"/>
              </w:rPr>
              <w:t>Adres</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C" w14:textId="77777777" w:rsidR="0072010A" w:rsidRDefault="00B346C3">
            <w:r>
              <w:rPr>
                <w:rFonts w:ascii="Calibri" w:hAnsi="Calibri"/>
                <w:b w:val="0"/>
                <w:color w:val="1F2937"/>
                <w:sz w:val="22"/>
              </w:rPr>
              <w:t xml:space="preserve">Joeswerd 107, 9746CR Groningen</w:t>
            </w:r>
          </w:p>
        </w:tc>
      </w:tr>
      <w:tr w:rsidR="0072010A" w14:paraId="6D6ED470"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E" w14:textId="77777777" w:rsidR="0072010A" w:rsidRPr="00AF5A6E" w:rsidRDefault="00B346C3">
            <w:r w:rsidRPr="00AF5A6E">
              <w:rPr>
                <w:rFonts w:ascii="Calibri" w:hAnsi="Calibri"/>
                <w:b/>
                <w:bCs/>
                <w:color w:val="1F2937"/>
                <w:sz w:val="22"/>
                <w:szCs w:val="20"/>
              </w:rPr>
              <w:t>Datum rapport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6F" w14:textId="77777777" w:rsidR="0072010A" w:rsidRDefault="00B346C3">
            <w:r>
              <w:rPr>
                <w:rFonts w:ascii="Calibri" w:hAnsi="Calibri"/>
                <w:b w:val="0"/>
                <w:color w:val="1F2937"/>
                <w:sz w:val="22"/>
              </w:rPr>
              <w:t xml:space="preserve">30 april 2026</w:t>
            </w:r>
          </w:p>
        </w:tc>
      </w:tr>
      <w:tr w:rsidR="0072010A" w14:paraId="6D6ED473"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1" w14:textId="77777777" w:rsidR="0072010A" w:rsidRPr="00AF5A6E" w:rsidRDefault="00B346C3">
            <w:r w:rsidRPr="00AF5A6E">
              <w:rPr>
                <w:rFonts w:ascii="Calibri" w:hAnsi="Calibri"/>
                <w:b/>
                <w:bCs/>
                <w:color w:val="1F2937"/>
                <w:sz w:val="22"/>
                <w:szCs w:val="20"/>
              </w:rPr>
              <w:t>Bouwjaar</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2" w14:textId="77777777" w:rsidR="0072010A" w:rsidRDefault="00B346C3">
            <w:r>
              <w:rPr>
                <w:rFonts w:ascii="Calibri" w:hAnsi="Calibri"/>
                <w:b w:val="0"/>
                <w:color w:val="1F2937"/>
                <w:sz w:val="22"/>
              </w:rPr>
              <w:t xml:space="preserve">2006</w:t>
            </w:r>
          </w:p>
        </w:tc>
      </w:tr>
      <w:tr w:rsidR="0072010A" w14:paraId="6D6ED476"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4" w14:textId="77777777" w:rsidR="0072010A" w:rsidRPr="00AF5A6E" w:rsidRDefault="00B346C3">
            <w:r w:rsidRPr="00AF5A6E">
              <w:rPr>
                <w:rFonts w:ascii="Calibri" w:hAnsi="Calibri"/>
                <w:b/>
                <w:bCs/>
                <w:color w:val="1F2937"/>
                <w:sz w:val="22"/>
                <w:szCs w:val="20"/>
              </w:rPr>
              <w:t>Bouwperiode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5" w14:textId="77777777" w:rsidR="0072010A" w:rsidRDefault="00B346C3">
            <w:r>
              <w:rPr>
                <w:rFonts w:ascii="Calibri" w:hAnsi="Calibri"/>
                <w:b w:val="0"/>
                <w:color w:val="1F2937"/>
                <w:sz w:val="22"/>
              </w:rPr>
              <w:t xml:space="preserve">2006–2014</w:t>
            </w:r>
          </w:p>
        </w:tc>
      </w:tr>
      <w:tr w:rsidR="0072010A" w14:paraId="6D6ED479"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7" w14:textId="77777777" w:rsidR="0072010A" w:rsidRPr="00AF5A6E" w:rsidRDefault="00B346C3">
            <w:r w:rsidRPr="00AF5A6E">
              <w:rPr>
                <w:rFonts w:ascii="Calibri" w:hAnsi="Calibri"/>
                <w:b/>
                <w:bCs/>
                <w:color w:val="1F2937"/>
                <w:sz w:val="22"/>
                <w:szCs w:val="20"/>
              </w:rPr>
              <w:t>Gebruiksoppervlakte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8" w14:textId="77777777" w:rsidR="0072010A" w:rsidRDefault="00B346C3">
            <w:r>
              <w:rPr>
                <w:rFonts w:ascii="Calibri" w:hAnsi="Calibri"/>
                <w:b w:val="0"/>
                <w:color w:val="1F2937"/>
                <w:sz w:val="22"/>
              </w:rPr>
              <w:t xml:space="preserve">90 m²</w:t>
            </w:r>
          </w:p>
        </w:tc>
      </w:tr>
      <w:tr w:rsidR="0072010A" w14:paraId="6D6ED47C"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A" w14:textId="77777777" w:rsidR="0072010A" w:rsidRPr="00AF5A6E" w:rsidRDefault="00B346C3">
            <w:r w:rsidRPr="00AF5A6E">
              <w:rPr>
                <w:rFonts w:ascii="Calibri" w:hAnsi="Calibri"/>
                <w:b/>
                <w:bCs/>
                <w:color w:val="1F2937"/>
                <w:sz w:val="22"/>
                <w:szCs w:val="20"/>
              </w:rPr>
              <w:t>Energielabel</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B" w14:textId="77777777" w:rsidR="0072010A" w:rsidRDefault="00B346C3">
            <w:r>
              <w:rPr>
                <w:rFonts w:ascii="Calibri" w:hAnsi="Calibri"/>
                <w:b/>
                <w:color w:val="2E7D32"/>
                <w:sz w:val="22"/>
              </w:rPr>
              <w:t xml:space="preserve">A+</w:t>
            </w:r>
          </w:p>
        </w:tc>
      </w:tr>
      <w:tr w:rsidR="0072010A" w14:paraId="6D6ED47F"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D" w14:textId="77777777" w:rsidR="0072010A" w:rsidRPr="00AF5A6E" w:rsidRDefault="00B346C3">
            <w:r w:rsidRPr="00AF5A6E">
              <w:rPr>
                <w:rFonts w:ascii="Calibri" w:hAnsi="Calibri"/>
                <w:b/>
                <w:bCs/>
                <w:color w:val="1F2937"/>
                <w:sz w:val="22"/>
                <w:szCs w:val="20"/>
              </w:rPr>
              <w:t>Registratiedatum</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7E" w14:textId="77777777" w:rsidR="0072010A" w:rsidRDefault="00B346C3">
            <w:r>
              <w:rPr>
                <w:rFonts w:ascii="Calibri" w:hAnsi="Calibri"/>
                <w:b w:val="0"/>
                <w:color w:val="1F2937"/>
                <w:sz w:val="22"/>
              </w:rPr>
              <w:t xml:space="preserve">24 september 2025</w:t>
            </w:r>
          </w:p>
        </w:tc>
      </w:tr>
      <w:tr w:rsidR="0072010A" w14:paraId="6D6ED482"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0" w14:textId="77777777" w:rsidR="0072010A" w:rsidRPr="00AF5A6E" w:rsidRDefault="00B346C3">
            <w:r w:rsidRPr="00AF5A6E">
              <w:rPr>
                <w:rFonts w:ascii="Calibri" w:hAnsi="Calibri"/>
                <w:b/>
                <w:bCs/>
                <w:color w:val="1F2937"/>
                <w:sz w:val="22"/>
                <w:szCs w:val="20"/>
              </w:rPr>
              <w:t>Geldig tot</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1" w14:textId="77777777" w:rsidR="0072010A" w:rsidRDefault="00B346C3">
            <w:r>
              <w:rPr>
                <w:rFonts w:ascii="Calibri" w:hAnsi="Calibri"/>
                <w:b w:val="0"/>
                <w:color w:val="1F2937"/>
                <w:sz w:val="22"/>
              </w:rPr>
              <w:t xml:space="preserve">23 september 2035</w:t>
            </w:r>
          </w:p>
        </w:tc>
      </w:tr>
      <w:tr w:rsidR="0072010A" w14:paraId="6D6ED485"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3" w14:textId="77777777" w:rsidR="0072010A" w:rsidRPr="00AF5A6E" w:rsidRDefault="00B346C3">
            <w:r w:rsidRPr="00AF5A6E">
              <w:rPr>
                <w:rFonts w:ascii="Calibri" w:hAnsi="Calibri"/>
                <w:b/>
                <w:bCs/>
                <w:color w:val="1F2937"/>
                <w:sz w:val="22"/>
                <w:szCs w:val="20"/>
              </w:rPr>
              <w:t>Energiebehoefte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4" w14:textId="77777777" w:rsidR="0072010A" w:rsidRDefault="00B346C3">
            <w:r>
              <w:rPr>
                <w:rFonts w:ascii="Calibri" w:hAnsi="Calibri"/>
                <w:b w:val="0"/>
                <w:color w:val="1F2937"/>
                <w:sz w:val="22"/>
              </w:rPr>
              <w:t xml:space="preserve">79.6 kWh/m².jr</w:t>
            </w:r>
          </w:p>
        </w:tc>
      </w:tr>
      <w:tr w:rsidR="0072010A" w14:paraId="6D6ED488"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6" w14:textId="77777777" w:rsidR="0072010A" w:rsidRPr="00AF5A6E" w:rsidRDefault="00B346C3">
            <w:r w:rsidRPr="00AF5A6E">
              <w:rPr>
                <w:rFonts w:ascii="Calibri" w:hAnsi="Calibri"/>
                <w:b/>
                <w:bCs/>
                <w:color w:val="1F2937"/>
                <w:sz w:val="22"/>
                <w:szCs w:val="20"/>
              </w:rPr>
              <w:t>Warmtebehoefte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7" w14:textId="77777777" w:rsidR="0072010A" w:rsidRDefault="00B346C3">
            <w:r>
              <w:rPr>
                <w:rFonts w:ascii="Calibri" w:hAnsi="Calibri"/>
                <w:b w:val="0"/>
                <w:color w:val="1F2937"/>
                <w:sz w:val="22"/>
              </w:rPr>
              <w:t xml:space="preserve">73.2 kWh/m².jr</w:t>
            </w:r>
          </w:p>
        </w:tc>
      </w:tr>
      <w:tr w:rsidR="0072010A" w14:paraId="6D6ED48B" w14:textId="77777777" w:rsidTr="00AF5A6E">
        <w:tc>
          <w:tcPr>
            <w:tcW w:w="2410"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9" w14:textId="77777777" w:rsidR="0072010A" w:rsidRPr="00AF5A6E" w:rsidRDefault="00B346C3">
            <w:r w:rsidRPr="00AF5A6E">
              <w:rPr>
                <w:rFonts w:ascii="Calibri" w:hAnsi="Calibri"/>
                <w:b/>
                <w:bCs/>
                <w:color w:val="1F2937"/>
                <w:sz w:val="22"/>
                <w:szCs w:val="20"/>
              </w:rPr>
              <w:t>Woningtype</w:t>
            </w:r>
          </w:p>
        </w:tc>
        <w:tc>
          <w:tcPr>
            <w:tcW w:w="2835" w:type="dxa"/>
            <w:tcMar>
              <w:top w:w="80" w:type="dxa"/>
              <w:left w:w="120" w:type="dxa"/>
              <w:bottom w:w="80" w:type="dxa"/>
              <w:right w:w="120" w:type="dxa"/>
            </w:tcMar>
            <w:shd w:val="clear" w:color="auto" w:fill="FFFFFF"/>
            <w:tcBorders>
              <w:top w:val="single" w:sz="4" w:space="0" w:color="D6E2EE"/>
              <w:left w:val="single" w:sz="4" w:space="0" w:color="D6E2EE"/>
              <w:bottom w:val="single" w:sz="4" w:space="0" w:color="D6E2EE"/>
              <w:right w:val="single" w:sz="4" w:space="0" w:color="D6E2EE"/>
            </w:tcBorders>
          </w:tcPr>
          <w:p w14:paraId="6D6ED48A" w14:textId="77777777" w:rsidR="0072010A" w:rsidRDefault="00B346C3">
            <w:r>
              <w:rPr>
                <w:rFonts w:ascii="Calibri" w:hAnsi="Calibri"/>
                <w:b w:val="0"/>
                <w:color w:val="1F2937"/>
                <w:sz w:val="22"/>
              </w:rPr>
              <w:t xml:space="preserve">Rijwoning tussen</w:t>
            </w:r>
          </w:p>
        </w:tc>
      </w:tr>
    </w:tbl>
    <w:p w14:paraId="6D6ED48C" w14:textId="77777777" w:rsidR="0072010A" w:rsidRPr="00CE7620" w:rsidRDefault="0072010A">
      <w:pPr>
        <w:spacing w:before="80"/>
      </w:pPr>
    </w:p>
    <w:p w14:paraId="6D6ED48D" w14:textId="77777777" w:rsidR="0072010A" w:rsidRPr="00CE7620" w:rsidRDefault="00B346C3">
      <w:pPr>
        <w:spacing w:before="60" w:after="60"/>
      </w:pPr>
      <w:r w:rsidRPr="00CE7620">
        <w:rPr>
          <w:i/>
          <w:iCs/>
        </w:rPr>
        <w:t>Bron: Basisregistratie Adressen en Gebouwen (BAG/PDOK) en landelijke energielabelregistratie EP-Online.</w:t>
      </w:r>
    </w:p>
    <w:p w14:paraId="6D6ED48E" w14:textId="77777777" w:rsidR="0072010A" w:rsidRDefault="0072010A">
      <w:pPr>
        <w:spacing w:before="240"/>
      </w:pPr>
    </w:p>
    <w:p w14:paraId="6D6ED48F" w14:textId="77777777" w:rsidR="0072010A" w:rsidRPr="00DC422D" w:rsidRDefault="00B346C3">
      <w:pPr>
        <w:pStyle w:val="Kop1"/>
        <w:pBdr>
          <w:bottom w:val="single" w:sz="4" w:space="4" w:color="2E6BE6"/>
        </w:pBdr>
        <w:rPr>
          <w:color w:val="5AAA00"/>
        </w:rPr>
      </w:pPr>
      <w:r w:rsidRPr="00DC422D">
        <w:rPr>
          <w:color w:val="5AAA00"/>
        </w:rPr>
        <w:t>Kenmerken van deze bouwperiode</w:t>
      </w:r>
    </w:p>
    <w:p w14:paraId="6D6ED490" w14:textId="77777777" w:rsidR="0072010A" w:rsidRDefault="00B346C3">
      <w:pPr>
        <w:spacing w:before="80" w:after="160"/>
      </w:pPr>
      <w:r>
        <w:rPr>
          <w:color w:val="1A2340"/>
        </w:rPr>
        <w:t xml:space="preserve">Uw woning valt onder het Bouwbesluit van 1992, met latere aanscherpingen via de Energieprestatiecoëfficiënt (EPC). De schil is standaard voorzien van dakisolatie, spouwvulling en mechanische ventilatie — een kwalitatief goede basis met Rc 2,5. De focus verschuift hier van basisisolatie naar het optimaliseren van systemen en het dichten van de laatste energielekken.</w:t>
      </w:r>
    </w:p>
    <w:p>
      <w:pPr>
        <w:spacing w:before="80" w:after="160"/>
      </w:pPr>
      <w:r>
        <w:rPr>
          <w:color w:val="1A2340"/>
        </w:rPr>
        <w:t xml:space="preserve">Met energielabel A+ betreft het een energiezuinige woning.</w:t>
      </w:r>
    </w:p>
    <w:p>
      <w:pPr>
        <w:spacing w:before="120" w:after="120"/>
      </w:pPr>
    </w:p>
    <w:p>
      <w:pPr>
        <w:spacing w:before="80" w:after="160"/>
      </w:pPr>
      <w:r>
        <w:rPr>
          <w:color w:val="1A2340"/>
        </w:rPr>
        <w:t xml:space="preserve">Als tussenwoning heeft u twee gedeelde muren — warmteverlies gaat hier vooral via dak, vloer en voor/achtergevel.</w:t>
      </w:r>
    </w:p>
    <w:p w14:paraId="6D6ED491" w14:textId="77777777" w:rsidR="0072010A" w:rsidRDefault="00B346C3">
      <w:r>
        <w:br w:type="page"/>
      </w:r>
    </w:p>
    <w:p w14:paraId="6D6ED49B" w14:textId="03C03553" w:rsidR="0072010A" w:rsidRDefault="0072010A"/>
    <w:p w14:paraId="6D6ED49C" w14:textId="28FAA4FD" w:rsidR="0072010A" w:rsidRPr="00DC422D" w:rsidRDefault="00B346C3">
      <w:pPr>
        <w:pStyle w:val="Kop1"/>
        <w:pBdr>
          <w:bottom w:val="single" w:sz="4" w:space="4" w:color="2E6BE6"/>
        </w:pBdr>
        <w:rPr>
          <w:color w:val="5AAA00"/>
        </w:rPr>
      </w:pPr>
      <w:r w:rsidRPr="00DC422D">
        <w:rPr>
          <w:color w:val="5AAA00"/>
        </w:rPr>
        <w:t>Kansen en verbeterpotentieel</w:t>
      </w:r>
    </w:p>
    <w:p w14:paraId="6D6ED49D" w14:textId="77777777" w:rsidR="0072010A" w:rsidRPr="0068671D" w:rsidRDefault="00B346C3">
      <w:pPr>
        <w:spacing w:before="60" w:after="60"/>
      </w:pPr>
      <w:r w:rsidRPr="0068671D">
        <w:t>Een lage score betekent niet dat geen actie mogelijk is, maar dat het rendement ten opzichte van de investering doorgaans beperkter is.</w:t>
      </w:r>
    </w:p>
    <w:p>
      <w:pPr>
        <w:pStyle w:val="Normal"/>
        <w:spacing w:before="0" w:after="200"/>
      </w:pPr>
    </w:p>
    <w:p>
      <w:pPr>
        <w:pStyle w:val="Normal"/>
        <w:spacing w:before="0" w:after="160"/>
      </w:pPr>
      <w:r>
        <w:rPr>
          <w:rFonts w:ascii="Calibri" w:hAnsi="Calibri" w:cs="Calibri"/>
          <w:sz w:val="22"/>
          <w:szCs w:val="22"/>
          <w:color w:val="1D1D1B"/>
        </w:rPr>
        <w:t xml:space="preserve">De gebouwschil is op orde. De meeste winst zit in het optimaliseren van installaties: ventilatie, verwarming en eventuele duurzame opwek.</w:t>
      </w:r>
    </w:p>
    <w:p>
      <w:pPr>
        <w:pStyle w:val="Normal"/>
        <w:spacing w:before="0" w:after="80"/>
      </w:pPr>
      <w:r>
        <w:rPr>
          <w:b/>
          <w:rFonts w:ascii="Calibri" w:hAnsi="Calibri" w:cs="Calibri"/>
          <w:sz w:val="24"/>
          <w:szCs w:val="24"/>
          <w:color w:val="1D1D1B"/>
        </w:rPr>
        <w:t xml:space="preserve">Basis totstandkoming van dit rapport</w:t>
      </w:r>
    </w:p>
    <w:p>
      <w:pPr>
        <w:pStyle w:val="Normal"/>
        <w:spacing w:before="0" w:after="60"/>
      </w:pPr>
      <w:r>
        <w:rPr>
          <w:rFonts w:ascii="Calibri" w:hAnsi="Calibri" w:cs="Calibri"/>
          <w:sz w:val="20"/>
          <w:szCs w:val="20"/>
          <w:color w:val="555555"/>
        </w:rPr>
        <w:t xml:space="preserve">Financiële indicaties zijn schattingen op basis van bouwjaar en gemiddelde woningkenmerken. Definitieve bedragen hangen af van de werkelijke situatie ter plaatse.</w:t>
      </w:r>
    </w:p>
    <w:p>
      <w:pPr>
        <w:pStyle w:val="Normal"/>
        <w:spacing w:before="0" w:after="200"/>
      </w:pPr>
    </w:p>
    <w:p>
      <w:pPr>
        <w:pStyle w:val="Normal"/>
        <w:spacing w:before="0" w:after="200"/>
      </w:pPr>
      <w:r>
        <w:rPr>
          <w:i/>
          <w:rFonts w:ascii="Calibri" w:hAnsi="Calibri" w:cs="Calibri"/>
          <w:sz w:val="20"/>
          <w:szCs w:val="20"/>
          <w:color w:val="666666"/>
        </w:rPr>
        <w:t xml:space="preserve">Berekend op basis van woningtype, bouwjaar en isolatiewaarden per bouwperiode (ISSO 82.1, NEN 1068). Alle bedragen zijn indicatief.</w:t>
      </w:r>
    </w:p>
    <w:p>
      <w:pPr>
        <w:pStyle w:val="Normal"/>
        <w:spacing w:before="0" w:after="60"/>
      </w:pPr>
      <w:r>
        <w:rPr>
          <w:b/>
          <w:rFonts w:ascii="Calibri" w:hAnsi="Calibri" w:cs="Calibri"/>
          <w:sz w:val="22"/>
          <w:szCs w:val="22"/>
          <w:color w:val="5AAA00"/>
        </w:rPr>
        <w:t xml:space="preserve">Dak</w:t>
      </w:r>
    </w:p>
    <w:p>
      <w:pPr>
        <w:pStyle w:val="Normal"/>
        <w:spacing w:before="0" w:after="40"/>
      </w:pPr>
      <w:r>
        <w:rPr>
          <w:i/>
          <w:rFonts w:ascii="Calibri" w:hAnsi="Calibri" w:cs="Calibri"/>
          <w:sz w:val="20"/>
          <w:szCs w:val="20"/>
          <w:color w:val="888888"/>
        </w:rPr>
        <w:t xml:space="preserve">Hellend dak, footprint 50 m² × factor 1.25</w:t>
      </w:r>
    </w:p>
    <w:p>
      <w:pPr>
        <w:pStyle w:val="Normal"/>
        <w:spacing w:before="0" w:after="20"/>
      </w:pPr>
      <w:r>
        <w:rPr>
          <w:rFonts w:ascii="Calibri" w:hAnsi="Calibri" w:cs="Calibri"/>
          <w:sz w:val="20"/>
          <w:szCs w:val="20"/>
          <w:color w:val="555555"/>
        </w:rPr>
        <w:t xml:space="preserve">Huidige Rc: 2.5 m²K/W  —  Bouwbesluit 1992+, Rc ≥ 2.5 m²K/W</w:t>
      </w:r>
    </w:p>
    <w:p>
      <w:pPr>
        <w:pStyle w:val="Normal"/>
        <w:spacing w:before="0" w:after="60"/>
      </w:pPr>
      <w:r>
        <w:rPr>
          <w:rFonts w:ascii="Calibri" w:hAnsi="Calibri" w:cs="Calibri"/>
          <w:sz w:val="20"/>
          <w:szCs w:val="20"/>
          <w:color w:val="555555"/>
        </w:rPr>
        <w:t xml:space="preserve">Streefwaarde Rc: 3.5 m²K/W (ISDE-minimumeis)</w:t>
      </w:r>
    </w:p>
    <w:p>
      <w:pPr>
        <w:pStyle w:val="Normal"/>
        <w:spacing w:before="0" w:after="60"/>
      </w:pPr>
      <w:r>
        <w:rPr>
          <w:rFonts w:ascii="Calibri" w:hAnsi="Calibri" w:cs="Calibri"/>
          <w:sz w:val="20"/>
          <w:szCs w:val="20"/>
          <w:color w:val="1D1D1B"/>
        </w:rPr>
        <w:t xml:space="preserve">Besparing:    393 kWh/jr  |  52 m³ gas/jr  |  €75 per jaar</w:t>
      </w:r>
    </w:p>
    <w:p>
      <w:pPr>
        <w:pStyle w:val="Normal"/>
        <w:spacing w:before="0" w:after="60"/>
      </w:pPr>
      <w:r>
        <w:rPr>
          <w:rFonts w:ascii="Calibri" w:hAnsi="Calibri" w:cs="Calibri"/>
          <w:sz w:val="20"/>
          <w:szCs w:val="20"/>
          <w:color w:val="1D1D1B"/>
        </w:rPr>
        <w:t xml:space="preserve">Investering:  €6,250–€9,375  |  ISDE-subsidie: tot €1,016  |  Netto: €6,796</w:t>
      </w:r>
    </w:p>
    <w:p>
      <w:pPr>
        <w:pStyle w:val="Normal"/>
        <w:spacing w:before="0" w:after="60"/>
      </w:pPr>
      <w:r>
        <w:rPr>
          <w:rFonts w:ascii="Calibri" w:hAnsi="Calibri" w:cs="Calibri"/>
          <w:sz w:val="20"/>
          <w:szCs w:val="20"/>
          <w:color w:val="1D1D1B"/>
        </w:rPr>
        <w:t xml:space="preserve">Terugverdientijd: 44.5 jaar  |  Na 10 jr: €858  |  Na 20 jr: €2,010 cumulatief bespaard</w:t>
      </w:r>
    </w:p>
    <w:p>
      <w:pPr>
        <w:pStyle w:val="Normal"/>
        <w:spacing w:before="0" w:after="60"/>
      </w:pPr>
      <w:r>
        <w:rPr>
          <w:i/>
          <w:rFonts w:ascii="Calibri" w:hAnsi="Calibri" w:cs="Calibri"/>
          <w:sz w:val="18"/>
          <w:szCs w:val="18"/>
          <w:color w:val="888888"/>
        </w:rPr>
        <w:t xml:space="preserve">Enkel interessant in combinatie met groot onderhoud of verbouw.</w:t>
      </w:r>
    </w:p>
    <w:p>
      <w:pPr>
        <w:pStyle w:val="Normal"/>
        <w:spacing w:before="0" w:after="160"/>
      </w:pPr>
    </w:p>
    <w:p>
      <w:pPr>
        <w:pStyle w:val="Normal"/>
        <w:spacing w:before="0" w:after="60"/>
      </w:pPr>
      <w:r>
        <w:rPr>
          <w:b/>
          <w:rFonts w:ascii="Calibri" w:hAnsi="Calibri" w:cs="Calibri"/>
          <w:sz w:val="22"/>
          <w:szCs w:val="22"/>
          <w:color w:val="5AAA00"/>
        </w:rPr>
        <w:t xml:space="preserve">Vloer</w:t>
      </w:r>
    </w:p>
    <w:p>
      <w:pPr>
        <w:pStyle w:val="Normal"/>
        <w:spacing w:before="0" w:after="40"/>
      </w:pPr>
      <w:r>
        <w:rPr>
          <w:i/>
          <w:rFonts w:ascii="Calibri" w:hAnsi="Calibri" w:cs="Calibri"/>
          <w:sz w:val="20"/>
          <w:szCs w:val="20"/>
          <w:color w:val="888888"/>
        </w:rPr>
        <w:t xml:space="preserve">Vloer = footprint 50 m²</w:t>
      </w:r>
    </w:p>
    <w:p>
      <w:pPr>
        <w:pStyle w:val="Normal"/>
        <w:spacing w:before="0" w:after="20"/>
      </w:pPr>
      <w:r>
        <w:rPr>
          <w:rFonts w:ascii="Calibri" w:hAnsi="Calibri" w:cs="Calibri"/>
          <w:sz w:val="20"/>
          <w:szCs w:val="20"/>
          <w:color w:val="555555"/>
        </w:rPr>
        <w:t xml:space="preserve">Huidige Rc: 2.5 m²K/W  —  Bouwbesluit 1992+, Rc ≥ 2.5 m²K/W</w:t>
      </w:r>
    </w:p>
    <w:p>
      <w:pPr>
        <w:pStyle w:val="Normal"/>
        <w:spacing w:before="0" w:after="60"/>
      </w:pPr>
      <w:r>
        <w:rPr>
          <w:rFonts w:ascii="Calibri" w:hAnsi="Calibri" w:cs="Calibri"/>
          <w:sz w:val="20"/>
          <w:szCs w:val="20"/>
          <w:color w:val="555555"/>
        </w:rPr>
        <w:t xml:space="preserve">Streefwaarde Rc: 3.5 m²K/W (ISDE-minimumeis)</w:t>
      </w:r>
    </w:p>
    <w:p>
      <w:pPr>
        <w:pStyle w:val="Normal"/>
        <w:spacing w:before="0" w:after="60"/>
      </w:pPr>
      <w:r>
        <w:rPr>
          <w:rFonts w:ascii="Calibri" w:hAnsi="Calibri" w:cs="Calibri"/>
          <w:sz w:val="20"/>
          <w:szCs w:val="20"/>
          <w:color w:val="1D1D1B"/>
        </w:rPr>
        <w:t xml:space="preserve">Besparing:    314 kWh/jr  |  41 m³ gas/jr  |  €60 per jaar</w:t>
      </w:r>
    </w:p>
    <w:p>
      <w:pPr>
        <w:pStyle w:val="Normal"/>
        <w:spacing w:before="0" w:after="60"/>
      </w:pPr>
      <w:r>
        <w:rPr>
          <w:rFonts w:ascii="Calibri" w:hAnsi="Calibri" w:cs="Calibri"/>
          <w:sz w:val="20"/>
          <w:szCs w:val="20"/>
          <w:color w:val="1D1D1B"/>
        </w:rPr>
        <w:t xml:space="preserve">Investering:  €1,100–€1,500  |  ISDE-subsidie: tot €275  |  Netto: €1,025</w:t>
      </w:r>
    </w:p>
    <w:p>
      <w:pPr>
        <w:pStyle w:val="Normal"/>
        <w:spacing w:before="0" w:after="60"/>
      </w:pPr>
      <w:r>
        <w:rPr>
          <w:rFonts w:ascii="Calibri" w:hAnsi="Calibri" w:cs="Calibri"/>
          <w:sz w:val="20"/>
          <w:szCs w:val="20"/>
          <w:color w:val="1D1D1B"/>
        </w:rPr>
        <w:t xml:space="preserve">Terugverdientijd: 14.0 jaar  |  Na 10 jr: €685  |  Na 20 jr: €1,605 cumulatief bespaard</w:t>
      </w:r>
    </w:p>
    <w:p>
      <w:pPr>
        <w:pStyle w:val="Normal"/>
        <w:spacing w:before="0" w:after="160"/>
      </w:pPr>
    </w:p>
    <w:p>
      <w:pPr>
        <w:pStyle w:val="Normal"/>
        <w:spacing w:before="0" w:after="60"/>
      </w:pPr>
      <w:r>
        <w:rPr>
          <w:b/>
          <w:rFonts w:ascii="Calibri" w:hAnsi="Calibri" w:cs="Calibri"/>
          <w:sz w:val="22"/>
          <w:szCs w:val="22"/>
          <w:color w:val="5AAA00"/>
        </w:rPr>
        <w:t xml:space="preserve">Spouwmuurisolatie</w:t>
      </w:r>
    </w:p>
    <w:p>
      <w:pPr>
        <w:pStyle w:val="Normal"/>
        <w:spacing w:before="0" w:after="60"/>
      </w:pPr>
      <w:r>
        <w:rPr>
          <w:rFonts w:ascii="Calibri" w:hAnsi="Calibri" w:cs="Calibri"/>
          <w:sz w:val="20"/>
          <w:szCs w:val="20"/>
          <w:color w:val="2E7D32"/>
        </w:rPr>
        <w:t xml:space="preserve">Je Rc-waarde is 1.3 m²K/W en voldoet aan de ISDE-eis en komt hierom niet in aanmerking voor subsidie.</w:t>
      </w:r>
    </w:p>
    <w:p>
      <w:pPr>
        <w:pStyle w:val="Normal"/>
        <w:spacing w:before="0" w:after="160"/>
      </w:pPr>
    </w:p>
    <w:p>
      <w:pPr>
        <w:pStyle w:val="Normal"/>
        <w:spacing w:before="0" w:after="60"/>
      </w:pPr>
      <w:r>
        <w:rPr>
          <w:b/>
          <w:rFonts w:ascii="Calibri" w:hAnsi="Calibri" w:cs="Calibri"/>
          <w:sz w:val="22"/>
          <w:szCs w:val="22"/>
          <w:color w:val="5AAA00"/>
        </w:rPr>
        <w:t xml:space="preserve">Gevelisolatie (buiten/binnen)</w:t>
      </w:r>
    </w:p>
    <w:p>
      <w:pPr>
        <w:pStyle w:val="Normal"/>
        <w:spacing w:before="0" w:after="40"/>
      </w:pPr>
      <w:r>
        <w:rPr>
          <w:i/>
          <w:rFonts w:ascii="Calibri" w:hAnsi="Calibri" w:cs="Calibri"/>
          <w:sz w:val="20"/>
          <w:szCs w:val="20"/>
          <w:color w:val="888888"/>
        </w:rPr>
        <w:t xml:space="preserve">Netto gevel (excl. glas), tussenwoning; bruto 65 m² − glas 15 m²</w:t>
      </w:r>
    </w:p>
    <w:p>
      <w:pPr>
        <w:pStyle w:val="Normal"/>
        <w:spacing w:before="0" w:after="20"/>
      </w:pPr>
      <w:r>
        <w:rPr>
          <w:rFonts w:ascii="Calibri" w:hAnsi="Calibri" w:cs="Calibri"/>
          <w:sz w:val="20"/>
          <w:szCs w:val="20"/>
          <w:color w:val="555555"/>
        </w:rPr>
        <w:t xml:space="preserve">Huidige Rc: 2.5 m²K/W  —  Bouwbesluit 1992+, spouw gevuld, Rc ≥ 2.5 m²K/W</w:t>
      </w:r>
    </w:p>
    <w:p>
      <w:pPr>
        <w:pStyle w:val="Normal"/>
        <w:spacing w:before="0" w:after="60"/>
      </w:pPr>
      <w:r>
        <w:rPr>
          <w:rFonts w:ascii="Calibri" w:hAnsi="Calibri" w:cs="Calibri"/>
          <w:sz w:val="20"/>
          <w:szCs w:val="20"/>
          <w:color w:val="555555"/>
        </w:rPr>
        <w:t xml:space="preserve">Streefwaarde Rc: 3.5 m²K/W (ISDE-minimumeis)</w:t>
      </w:r>
    </w:p>
    <w:p>
      <w:pPr>
        <w:pStyle w:val="Normal"/>
        <w:spacing w:before="0" w:after="60"/>
      </w:pPr>
      <w:r>
        <w:rPr>
          <w:rFonts w:ascii="Calibri" w:hAnsi="Calibri" w:cs="Calibri"/>
          <w:sz w:val="20"/>
          <w:szCs w:val="20"/>
          <w:color w:val="1D1D1B"/>
        </w:rPr>
        <w:t xml:space="preserve">Besparing:    316 kWh/jr  |  41 m³ gas/jr  |  €60 per jaar</w:t>
      </w:r>
    </w:p>
    <w:p>
      <w:pPr>
        <w:pStyle w:val="Normal"/>
        <w:spacing w:before="0" w:after="60"/>
      </w:pPr>
      <w:r>
        <w:rPr>
          <w:rFonts w:ascii="Calibri" w:hAnsi="Calibri" w:cs="Calibri"/>
          <w:sz w:val="20"/>
          <w:szCs w:val="20"/>
          <w:color w:val="1D1D1B"/>
        </w:rPr>
        <w:t xml:space="preserve">Investering:  €8,785–€11,546  |  ISDE-subsidie: tot €1,017  |  Netto: €9,148</w:t>
      </w:r>
    </w:p>
    <w:p>
      <w:pPr>
        <w:pStyle w:val="Normal"/>
        <w:spacing w:before="0" w:after="160"/>
      </w:pPr>
    </w:p>
    <w:p>
      <w:pPr>
        <w:pStyle w:val="Normal"/>
        <w:spacing w:before="0" w:after="60"/>
      </w:pPr>
      <w:r>
        <w:rPr>
          <w:b/>
          <w:rFonts w:ascii="Calibri" w:hAnsi="Calibri" w:cs="Calibri"/>
          <w:sz w:val="22"/>
          <w:szCs w:val="22"/>
          <w:color w:val="5AAA00"/>
        </w:rPr>
        <w:t xml:space="preserve">Glas</w:t>
      </w:r>
    </w:p>
    <w:p>
      <w:pPr>
        <w:pStyle w:val="Normal"/>
        <w:spacing w:before="0" w:after="200"/>
      </w:pPr>
      <w:r>
        <w:rPr>
          <w:i/>
          <w:rFonts w:ascii="Calibri" w:hAnsi="Calibri" w:cs="Calibri"/>
          <w:sz w:val="20"/>
          <w:szCs w:val="20"/>
          <w:color w:val="888888"/>
        </w:rPr>
        <w:t xml:space="preserve">Glasoppervlak o.b.v. hoeveelheden glas per gevelzijde, tussenwoning</w:t>
      </w:r>
    </w:p>
    <w:p>
      <w:pPr>
        <w:pStyle w:val="Normal"/>
        <w:spacing w:before="0" w:after="120"/>
      </w:pPr>
    </w:p>
    <w:p>
      <w:pPr>
        <w:pStyle w:val="Normal"/>
        <w:spacing w:before="0" w:after="100"/>
      </w:pPr>
      <w:r>
        <w:rPr>
          <w:b/>
          <w:rFonts w:ascii="Calibri" w:hAnsi="Calibri" w:cs="Calibri"/>
          <w:sz w:val="24"/>
          <w:szCs w:val="24"/>
          <w:color w:val="1D1D1B"/>
        </w:rPr>
        <w:t xml:space="preserve">Totaaloverzicht bij uitvoering van alle maatregelen</w:t>
      </w:r>
    </w:p>
    <w:p>
      <w:pPr>
        <w:pStyle w:val="Normal"/>
        <w:spacing w:before="0" w:after="120"/>
      </w:pPr>
      <w:r>
        <w:rPr>
          <w:rFonts w:ascii="Calibri" w:hAnsi="Calibri" w:cs="Calibri"/>
          <w:sz w:val="20"/>
          <w:szCs w:val="20"/>
          <w:color w:val="1D1D1B"/>
        </w:rPr>
        <w:t xml:space="preserve">Wanneer u meerdere isolatiemaatregelen combineert — of een isolatiemaatregel koppelt aan een warmtepomp — verdubbelt de ISDE-subsidie automatisch. Uw subsidie komt dan niet uit op €2,308 maar op €4,616.</w:t>
      </w:r>
    </w:p>
    <w:p>
      <w:pPr>
        <w:pStyle w:val="Normal"/>
        <w:spacing w:before="0" w:after="40"/>
      </w:pPr>
      <w:r>
        <w:rPr>
          <w:rFonts w:ascii="Calibri" w:hAnsi="Calibri" w:cs="Calibri"/>
          <w:sz w:val="20"/>
          <w:szCs w:val="20"/>
          <w:color w:val="1D1D1B"/>
        </w:rPr>
        <w:t xml:space="preserve">Totale investering:  €16,135 – €22,421</w:t>
      </w:r>
    </w:p>
    <w:p>
      <w:pPr>
        <w:pStyle w:val="Normal"/>
        <w:spacing w:before="0" w:after="40"/>
      </w:pPr>
      <w:r>
        <w:rPr>
          <w:rFonts w:ascii="Calibri" w:hAnsi="Calibri" w:cs="Calibri"/>
          <w:sz w:val="20"/>
          <w:szCs w:val="20"/>
          <w:color w:val="1D1D1B"/>
        </w:rPr>
        <w:t xml:space="preserve">Subsidie (enkelvoudig tarief):  €2,308</w:t>
      </w:r>
    </w:p>
    <w:p>
      <w:pPr>
        <w:pStyle w:val="Normal"/>
        <w:spacing w:before="0" w:after="40"/>
      </w:pPr>
      <w:r>
        <w:rPr>
          <w:b/>
          <w:rFonts w:ascii="Calibri" w:hAnsi="Calibri" w:cs="Calibri"/>
          <w:sz w:val="20"/>
          <w:szCs w:val="20"/>
          <w:color w:val="2E5C00"/>
        </w:rPr>
        <w:t xml:space="preserve">Subsidie (meervoudig, combinatie):  €4,616</w:t>
      </w:r>
    </w:p>
    <w:p>
      <w:pPr>
        <w:pStyle w:val="Normal"/>
        <w:spacing w:before="0" w:after="40"/>
      </w:pPr>
      <w:r>
        <w:rPr>
          <w:rFonts w:ascii="Calibri" w:hAnsi="Calibri" w:cs="Calibri"/>
          <w:sz w:val="20"/>
          <w:szCs w:val="20"/>
          <w:color w:val="1D1D1B"/>
        </w:rPr>
        <w:t xml:space="preserve">Netto investering (enkelvoudig):  €16,970</w:t>
      </w:r>
    </w:p>
    <w:p>
      <w:pPr>
        <w:pStyle w:val="Normal"/>
        <w:spacing w:before="0" w:after="40"/>
      </w:pPr>
      <w:r>
        <w:rPr>
          <w:b/>
          <w:rFonts w:ascii="Calibri" w:hAnsi="Calibri" w:cs="Calibri"/>
          <w:sz w:val="20"/>
          <w:szCs w:val="20"/>
          <w:color w:val="2E5C00"/>
        </w:rPr>
        <w:t xml:space="preserve">Netto investering (meervoudig):  €14,662</w:t>
      </w:r>
    </w:p>
    <w:p>
      <w:pPr>
        <w:pStyle w:val="Normal"/>
        <w:spacing w:before="0" w:after="40"/>
      </w:pPr>
      <w:r>
        <w:rPr>
          <w:rFonts w:ascii="Calibri" w:hAnsi="Calibri" w:cs="Calibri"/>
          <w:sz w:val="20"/>
          <w:szCs w:val="20"/>
          <w:color w:val="1D1D1B"/>
        </w:rPr>
        <w:t xml:space="preserve">Jaarlijkse energiebesparing:  €195/jr</w:t>
      </w:r>
    </w:p>
    <w:p>
      <w:pPr>
        <w:pStyle w:val="Normal"/>
        <w:spacing w:before="0" w:after="40"/>
      </w:pPr>
      <w:r>
        <w:rPr>
          <w:rFonts w:ascii="Calibri" w:hAnsi="Calibri" w:cs="Calibri"/>
          <w:sz w:val="20"/>
          <w:szCs w:val="20"/>
          <w:color w:val="1D1D1B"/>
        </w:rPr>
        <w:t xml:space="preserve">Terugverdientijd (enkelvoudig):  43.5 jaar</w:t>
      </w:r>
    </w:p>
    <w:p>
      <w:pPr>
        <w:pStyle w:val="Normal"/>
        <w:spacing w:before="0" w:after="40"/>
      </w:pPr>
      <w:r>
        <w:rPr>
          <w:b/>
          <w:rFonts w:ascii="Calibri" w:hAnsi="Calibri" w:cs="Calibri"/>
          <w:sz w:val="20"/>
          <w:szCs w:val="20"/>
          <w:color w:val="2E5C00"/>
        </w:rPr>
        <w:t xml:space="preserve">Terugverdientijd (meervoudig):  40.0 jaar</w:t>
      </w:r>
    </w:p>
    <w:p>
      <w:pPr>
        <w:pStyle w:val="Normal"/>
        <w:spacing w:before="0" w:after="160"/>
      </w:pPr>
    </w:p>
    <w:p>
      <w:pPr>
        <w:pStyle w:val="Normal"/>
        <w:spacing w:before="0" w:after="160"/>
      </w:pPr>
      <w:r>
        <w:rPr>
          <w:rFonts w:ascii="Calibri" w:hAnsi="Calibri" w:cs="Calibri"/>
          <w:sz w:val="20"/>
          <w:szCs w:val="20"/>
          <w:color w:val="555555"/>
        </w:rPr>
        <w:t xml:space="preserve">Berekend op basis van woningtype, bouwjaar en isolatiewaarden per bouwperiode (ISSO 82.1, NEN 1068). Alle bedragen zijn indicatief.</w:t>
      </w:r>
    </w:p>
    <w:p w14:paraId="6D6ED4B4" w14:textId="3311D600" w:rsidR="0072010A" w:rsidRPr="00DC422D" w:rsidRDefault="00B346C3">
      <w:pPr>
        <w:pStyle w:val="Kop1"/>
        <w:pBdr>
          <w:bottom w:val="single" w:sz="4" w:space="4" w:color="2E6BE6"/>
        </w:pBdr>
        <w:rPr>
          <w:color w:val="5AAA00"/>
        </w:rPr>
      </w:pPr>
      <w:r w:rsidRPr="00DC422D">
        <w:rPr>
          <w:color w:val="5AAA00"/>
        </w:rPr>
        <w:lastRenderedPageBreak/>
        <w:t>Aandachtspunten en risico’s</w:t>
      </w:r>
    </w:p>
    <w:p w14:paraId="6D6ED4B5" w14:textId="77777777" w:rsidR="0072010A" w:rsidRDefault="00B346C3">
      <w:pPr>
        <w:spacing w:before="80" w:after="160"/>
      </w:pPr>
      <w:r>
        <w:rPr>
          <w:color w:val="1A2340"/>
        </w:rPr>
        <w:t xml:space="preserve">- Slechte luchtkwaliteit: deze woningen zijn bij oplevering al redelijk luchtdicht. Het verder dichten van kieren zonder het ventilatiesysteem te upgraden leidt direct tot een ongezond binnenklimaat en verhoogde kans op schimmelgroei.</w:t>
      </w:r>
    </w:p>
    <w:p>
      <w:pPr>
        <w:spacing w:before="80" w:after="160"/>
      </w:pPr>
      <w:r>
        <w:rPr>
          <w:color w:val="1A2340"/>
        </w:rPr>
        <w:t xml:space="preserve">- Vervuilde ventilatie: de mechanische afzuiging is vaak niet onderhouden. Dit kost energie en verslechtert de luchtkwaliteit merkbaar.</w:t>
      </w:r>
    </w:p>
    <w:p>
      <w:pPr>
        <w:spacing w:before="80" w:after="160"/>
      </w:pPr>
      <w:r>
        <w:rPr>
          <w:color w:val="1A2340"/>
        </w:rPr>
        <w:t xml:space="preserve">- Oververhitting in de zomer: de goede isolatieschil houdt warmte ook binnen. Bij het vervangen van glas voor zonwerende beglazing houdt dit in de winter ook 'gratis' zonnewarmte tegen. Overweeg een CO2-indicator om de luchtkwaliteit na verduurzaming te monitoren.</w:t>
      </w:r>
    </w:p>
    <w:p>
      <w:pPr>
        <w:spacing w:before="80" w:after="160"/>
      </w:pPr>
      <w:r>
        <w:rPr>
          <w:color w:val="1A2340"/>
        </w:rPr>
        <w:t xml:space="preserve">- Sluipverbruik: inefficiënte instellingen van ventilatiesystemen zijn de grootste verliesposten — onzichtbaar maar structureel aanwezig op de energierekening.</w:t>
      </w:r>
    </w:p>
    <w:p>
      <w:pPr>
        <w:spacing w:before="120" w:after="120"/>
      </w:pPr>
    </w:p>
    <w:p>
      <w:pPr>
        <w:spacing w:before="80" w:after="160"/>
      </w:pPr>
      <w:r>
        <w:rPr>
          <w:color w:val="1A2340"/>
        </w:rPr>
        <w:t xml:space="preserve">Bouwfysisch risico bij na-isoleren: als uw woning al (gedeeltelijk) geïsoleerd is, brengt aanvullende isolatie bouwfysische risico's met zich mee. Een verstoorde dampdiffusie of onvoldoende ventilatie kan leiden tot vocht, condensatie en schimmelvorming in de constructie — schade die niet altijd direct zichtbaar is maar de constructie ernstig kan aantasten. Laat een erkend bedrijf of bouwfysisch adviseur daarom altijd eerst een technisch onderzoek uitvoeren voordat u overgaat tot na-isoleren.</w:t>
      </w:r>
    </w:p>
    <w:p>
      <w:pPr>
        <w:spacing w:before="120" w:after="120"/>
      </w:pPr>
    </w:p>
    <w:p>
      <w:pPr>
        <w:spacing w:before="80" w:after="160"/>
      </w:pPr>
      <w:r>
        <w:rPr>
          <w:color w:val="1A2340"/>
        </w:rPr>
        <w:t xml:space="preserve">Laat de bevindingen bevestigen via een foto-inspectie of maatwerkadvies. Neem contact op met PandIQ voor een concrete vervolgstap: www.pandiq.nl</w:t>
      </w:r>
    </w:p>
    <w:p w14:paraId="6D6ED4B6" w14:textId="77777777" w:rsidR="0072010A" w:rsidRDefault="0072010A">
      <w:pPr>
        <w:pBdr>
          <w:bottom w:val="single" w:sz="2" w:space="1" w:color="D0D8EC"/>
        </w:pBdr>
        <w:spacing w:before="160" w:after="160"/>
      </w:pPr>
    </w:p>
    <w:p w14:paraId="6D6ED4B7" w14:textId="6AC174ED" w:rsidR="0072010A" w:rsidRPr="00DC422D" w:rsidRDefault="00B346C3">
      <w:pPr>
        <w:pStyle w:val="Kop1"/>
        <w:pBdr>
          <w:bottom w:val="single" w:sz="4" w:space="4" w:color="2E6BE6"/>
        </w:pBdr>
        <w:rPr>
          <w:color w:val="5AAA00"/>
        </w:rPr>
      </w:pPr>
      <w:r w:rsidRPr="00DC422D">
        <w:rPr>
          <w:color w:val="5AAA00"/>
        </w:rPr>
        <w:t>Mogelijk relevante subsidies</w:t>
      </w:r>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Maatregel</w:t>
            </w:r>
          </w:p>
        </w:tc>
        <w:tc>
          <w:tcPr>
            <w:tcW w:w="1942" w:type="dxa"/>
            <w:shd w:val="clear" w:color="auto" w:fill="5AAA00"/>
          </w:tcPr>
          <w:p>
            <w:r/>
            <w:r>
              <w:rPr>
                <w:rFonts w:ascii="Calibri" w:hAnsi="Calibri"/>
                <w:b/>
                <w:i w:val="0"/>
                <w:color w:val="FFFFFF"/>
                <w:sz w:val="22"/>
              </w:rPr>
              <w:t>ISDE 2026 (€/m²)</w:t>
            </w:r>
          </w:p>
        </w:tc>
        <w:tc>
          <w:tcPr>
            <w:tcW w:w="1942" w:type="dxa"/>
            <w:shd w:val="clear" w:color="auto" w:fill="5AAA00"/>
          </w:tcPr>
          <w:p>
            <w:r/>
            <w:r>
              <w:rPr>
                <w:rFonts w:ascii="Calibri" w:hAnsi="Calibri"/>
                <w:b/>
                <w:i w:val="0"/>
                <w:color w:val="FFFFFF"/>
                <w:sz w:val="22"/>
              </w:rPr>
              <w:t>Biobased bonus</w:t>
            </w:r>
          </w:p>
        </w:tc>
        <w:tc>
          <w:tcPr>
            <w:tcW w:w="1942" w:type="dxa"/>
            <w:shd w:val="clear" w:color="auto" w:fill="5AAA00"/>
          </w:tcPr>
          <w:p>
            <w:r/>
            <w:r>
              <w:rPr>
                <w:rFonts w:ascii="Calibri" w:hAnsi="Calibri"/>
                <w:b/>
                <w:i w:val="0"/>
                <w:color w:val="FFFFFF"/>
                <w:sz w:val="22"/>
              </w:rPr>
              <w:t>Min. Rc/Rd</w:t>
            </w:r>
          </w:p>
        </w:tc>
      </w:tr>
      <w:tr>
        <w:trPr>
          <w:trHeight w:val="400" w:hRule="atLeast"/>
        </w:trPr>
        <w:tc>
          <w:tcPr>
            <w:tcW w:type="dxa" w:w="3200"/>
            <w:shd w:val="clear" w:color="auto" w:fill="FFFFFF"/>
          </w:tcPr>
          <w:p>
            <w:r/>
            <w:r>
              <w:rPr>
                <w:rFonts w:ascii="Calibri" w:hAnsi="Calibri"/>
                <w:b/>
                <w:i w:val="0"/>
                <w:color w:val="1D1D1B"/>
                <w:sz w:val="22"/>
              </w:rPr>
              <w:t>Gevelisolatie (binnen/buiten)</w:t>
            </w:r>
          </w:p>
        </w:tc>
        <w:tc>
          <w:tcPr>
            <w:tcW w:type="dxa" w:w="1942"/>
            <w:shd w:val="clear" w:color="auto" w:fill="FFFFFF"/>
          </w:tcPr>
          <w:p>
            <w:r/>
            <w:r>
              <w:rPr>
                <w:rFonts w:ascii="Calibri" w:hAnsi="Calibri"/>
                <w:b/>
                <w:i w:val="0"/>
                <w:color w:val="1D1D1B"/>
                <w:sz w:val="22"/>
              </w:rPr>
              <w:t>€ 20.25/m²</w:t>
            </w:r>
          </w:p>
        </w:tc>
        <w:tc>
          <w:tcPr>
            <w:tcW w:type="dxa" w:w="1942"/>
            <w:shd w:val="clear" w:color="auto" w:fill="FFFFFF"/>
          </w:tcPr>
          <w:p>
            <w:r/>
            <w:r>
              <w:rPr>
                <w:rFonts w:ascii="Calibri" w:hAnsi="Calibri"/>
                <w:b w:val="0"/>
                <w:i w:val="0"/>
                <w:color w:val="1D1D1B"/>
                <w:sz w:val="22"/>
              </w:rPr>
              <w:t>+ € 6.00/m²</w:t>
            </w:r>
          </w:p>
        </w:tc>
        <w:tc>
          <w:tcPr>
            <w:tcW w:type="dxa" w:w="1942"/>
            <w:shd w:val="clear" w:color="auto" w:fill="FFFFFF"/>
          </w:tcPr>
          <w:p>
            <w:r/>
            <w:r>
              <w:rPr>
                <w:rFonts w:ascii="Calibri" w:hAnsi="Calibri"/>
                <w:b w:val="0"/>
                <w:i w:val="0"/>
                <w:color w:val="1D1D1B"/>
                <w:sz w:val="22"/>
              </w:rPr>
              <w:t>Rc ≥ 3,5 / Rd ≥ 2,5 m²K/W</w:t>
            </w:r>
          </w:p>
        </w:tc>
      </w:tr>
      <w:tr>
        <w:trPr>
          <w:trHeight w:val="400" w:hRule="atLeast"/>
        </w:trPr>
        <w:tc>
          <w:tcPr>
            <w:tcW w:type="dxa" w:w="3200"/>
            <w:shd w:val="clear" w:color="auto" w:fill="FFFFFF"/>
          </w:tcPr>
          <w:p>
            <w:r/>
            <w:r>
              <w:rPr>
                <w:rFonts w:ascii="Calibri" w:hAnsi="Calibri"/>
                <w:b/>
                <w:i w:val="0"/>
                <w:color w:val="1D1D1B"/>
                <w:sz w:val="22"/>
              </w:rPr>
              <w:t>Dakisolatie</w:t>
            </w:r>
          </w:p>
        </w:tc>
        <w:tc>
          <w:tcPr>
            <w:tcW w:type="dxa" w:w="1942"/>
            <w:shd w:val="clear" w:color="auto" w:fill="FFFFFF"/>
          </w:tcPr>
          <w:p>
            <w:r/>
            <w:r>
              <w:rPr>
                <w:rFonts w:ascii="Calibri" w:hAnsi="Calibri"/>
                <w:b/>
                <w:i w:val="0"/>
                <w:color w:val="1D1D1B"/>
                <w:sz w:val="22"/>
              </w:rPr>
              <w:t>€ 16.25/m²</w:t>
            </w:r>
          </w:p>
        </w:tc>
        <w:tc>
          <w:tcPr>
            <w:tcW w:type="dxa" w:w="1942"/>
            <w:shd w:val="clear" w:color="auto" w:fill="FFFFFF"/>
          </w:tcPr>
          <w:p>
            <w:r/>
            <w:r>
              <w:rPr>
                <w:rFonts w:ascii="Calibri" w:hAnsi="Calibri"/>
                <w:b w:val="0"/>
                <w:i w:val="0"/>
                <w:color w:val="1D1D1B"/>
                <w:sz w:val="22"/>
              </w:rPr>
              <w:t>+ € 5.00/m²</w:t>
            </w:r>
          </w:p>
        </w:tc>
        <w:tc>
          <w:tcPr>
            <w:tcW w:type="dxa" w:w="1942"/>
            <w:shd w:val="clear" w:color="auto" w:fill="FFFFFF"/>
          </w:tcPr>
          <w:p>
            <w:r/>
            <w:r>
              <w:rPr>
                <w:rFonts w:ascii="Calibri" w:hAnsi="Calibri"/>
                <w:b w:val="0"/>
                <w:i w:val="0"/>
                <w:color w:val="1D1D1B"/>
                <w:sz w:val="22"/>
              </w:rPr>
              <w:t>Rc ≥ 3,5 m²K/W</w:t>
            </w:r>
          </w:p>
        </w:tc>
      </w:tr>
      <w:tr>
        <w:trPr>
          <w:trHeight w:val="400" w:hRule="atLeast"/>
        </w:trPr>
        <w:tc>
          <w:tcPr>
            <w:tcW w:type="dxa" w:w="3200"/>
          </w:tcPr>
          <w:p>
            <w:r/>
            <w:r>
              <w:rPr>
                <w:rFonts w:ascii="Calibri" w:hAnsi="Calibri"/>
                <w:b w:val="0"/>
                <w:i w:val="0"/>
                <w:color w:val="999999"/>
                <w:sz w:val="22"/>
              </w:rPr>
              <w:t>Zoldervloerisolatie</w:t>
            </w:r>
          </w:p>
        </w:tc>
        <w:tc>
          <w:tcPr>
            <w:tcW w:type="dxa" w:w="1942"/>
          </w:tcPr>
          <w:p>
            <w:r/>
            <w:r>
              <w:rPr>
                <w:rFonts w:ascii="Calibri" w:hAnsi="Calibri"/>
                <w:b w:val="0"/>
                <w:i w:val="0"/>
                <w:color w:val="999999"/>
                <w:sz w:val="22"/>
              </w:rPr>
              <w:t>€ 4.00/m²</w:t>
            </w:r>
          </w:p>
        </w:tc>
        <w:tc>
          <w:tcPr>
            <w:tcW w:type="dxa" w:w="1942"/>
          </w:tcPr>
          <w:p>
            <w:r/>
            <w:r>
              <w:rPr>
                <w:rFonts w:ascii="Calibri" w:hAnsi="Calibri"/>
                <w:b w:val="0"/>
                <w:i w:val="0"/>
                <w:color w:val="999999"/>
                <w:sz w:val="22"/>
              </w:rPr>
              <w:t>+ € 1.50/m²</w:t>
            </w:r>
          </w:p>
        </w:tc>
        <w:tc>
          <w:tcPr>
            <w:tcW w:type="dxa" w:w="1942"/>
          </w:tcPr>
          <w:p>
            <w:r/>
            <w:r>
              <w:rPr>
                <w:rFonts w:ascii="Calibri" w:hAnsi="Calibri"/>
                <w:b w:val="0"/>
                <w:i w:val="0"/>
                <w:color w:val="999999"/>
                <w:sz w:val="22"/>
              </w:rPr>
              <w:t>Rc ≥ 3,5 m²K/W</w:t>
            </w:r>
          </w:p>
        </w:tc>
      </w:tr>
      <w:tr>
        <w:trPr>
          <w:trHeight w:val="400" w:hRule="atLeast"/>
        </w:trPr>
        <w:tc>
          <w:tcPr>
            <w:tcW w:type="dxa" w:w="3200"/>
            <w:shd w:val="clear" w:color="auto" w:fill="FFFFFF"/>
          </w:tcPr>
          <w:p>
            <w:r/>
            <w:r>
              <w:rPr>
                <w:rFonts w:ascii="Calibri" w:hAnsi="Calibri"/>
                <w:b/>
                <w:i w:val="0"/>
                <w:color w:val="1D1D1B"/>
                <w:sz w:val="22"/>
              </w:rPr>
              <w:t>Spouwmuurisolatie</w:t>
            </w:r>
          </w:p>
        </w:tc>
        <w:tc>
          <w:tcPr>
            <w:tcW w:type="dxa" w:w="1942"/>
            <w:shd w:val="clear" w:color="auto" w:fill="FFFFFF"/>
          </w:tcPr>
          <w:p>
            <w:r/>
            <w:r>
              <w:rPr>
                <w:rFonts w:ascii="Calibri" w:hAnsi="Calibri"/>
                <w:b/>
                <w:i w:val="0"/>
                <w:color w:val="1D1D1B"/>
                <w:sz w:val="22"/>
              </w:rPr>
              <w:t>€ 5.25/m²</w:t>
            </w:r>
          </w:p>
        </w:tc>
        <w:tc>
          <w:tcPr>
            <w:tcW w:type="dxa" w:w="1942"/>
            <w:shd w:val="clear" w:color="auto" w:fill="FFFFFF"/>
          </w:tcPr>
          <w:p>
            <w:r/>
            <w:r>
              <w:rPr>
                <w:rFonts w:ascii="Calibri" w:hAnsi="Calibri"/>
                <w:b w:val="0"/>
                <w:i w:val="0"/>
                <w:color w:val="1D1D1B"/>
                <w:sz w:val="22"/>
              </w:rPr>
              <w:t>+ € 1.50/m²</w:t>
            </w:r>
          </w:p>
        </w:tc>
        <w:tc>
          <w:tcPr>
            <w:tcW w:type="dxa" w:w="1942"/>
            <w:shd w:val="clear" w:color="auto" w:fill="FFFFFF"/>
          </w:tcPr>
          <w:p>
            <w:r/>
            <w:r>
              <w:rPr>
                <w:rFonts w:ascii="Calibri" w:hAnsi="Calibri"/>
                <w:b w:val="0"/>
                <w:i w:val="0"/>
                <w:color w:val="1D1D1B"/>
                <w:sz w:val="22"/>
              </w:rPr>
              <w:t>Rc ≥ 1,1 m²K/W</w:t>
            </w:r>
          </w:p>
        </w:tc>
      </w:tr>
      <w:tr>
        <w:trPr>
          <w:trHeight w:val="400" w:hRule="atLeast"/>
        </w:trPr>
        <w:tc>
          <w:tcPr>
            <w:tcW w:type="dxa" w:w="3200"/>
            <w:shd w:val="clear" w:color="auto" w:fill="FFFFFF"/>
          </w:tcPr>
          <w:p>
            <w:r/>
            <w:r>
              <w:rPr>
                <w:rFonts w:ascii="Calibri" w:hAnsi="Calibri"/>
                <w:b/>
                <w:i w:val="0"/>
                <w:color w:val="1D1D1B"/>
                <w:sz w:val="22"/>
              </w:rPr>
              <w:t>Vloerisolatie</w:t>
            </w:r>
          </w:p>
        </w:tc>
        <w:tc>
          <w:tcPr>
            <w:tcW w:type="dxa" w:w="1942"/>
            <w:shd w:val="clear" w:color="auto" w:fill="FFFFFF"/>
          </w:tcPr>
          <w:p>
            <w:r/>
            <w:r>
              <w:rPr>
                <w:rFonts w:ascii="Calibri" w:hAnsi="Calibri"/>
                <w:b/>
                <w:i w:val="0"/>
                <w:color w:val="1D1D1B"/>
                <w:sz w:val="22"/>
              </w:rPr>
              <w:t>€ 5.50/m²</w:t>
            </w:r>
          </w:p>
        </w:tc>
        <w:tc>
          <w:tcPr>
            <w:tcW w:type="dxa" w:w="1942"/>
            <w:shd w:val="clear" w:color="auto" w:fill="FFFFFF"/>
          </w:tcPr>
          <w:p>
            <w:r/>
            <w:r>
              <w:rPr>
                <w:rFonts w:ascii="Calibri" w:hAnsi="Calibri"/>
                <w:b w:val="0"/>
                <w:i w:val="0"/>
                <w:color w:val="1D1D1B"/>
                <w:sz w:val="22"/>
              </w:rPr>
              <w:t>+ € 2.00/m²</w:t>
            </w:r>
          </w:p>
        </w:tc>
        <w:tc>
          <w:tcPr>
            <w:tcW w:type="dxa" w:w="1942"/>
            <w:shd w:val="clear" w:color="auto" w:fill="FFFFFF"/>
          </w:tcPr>
          <w:p>
            <w:r/>
            <w:r>
              <w:rPr>
                <w:rFonts w:ascii="Calibri" w:hAnsi="Calibri"/>
                <w:b w:val="0"/>
                <w:i w:val="0"/>
                <w:color w:val="1D1D1B"/>
                <w:sz w:val="22"/>
              </w:rPr>
              <w:t>Rc ≥ 3,5 m²K/W</w:t>
            </w:r>
          </w:p>
        </w:tc>
      </w:tr>
      <w:tr>
        <w:trPr>
          <w:trHeight w:val="400" w:hRule="atLeast"/>
        </w:trPr>
        <w:tc>
          <w:tcPr>
            <w:tcW w:type="dxa" w:w="3200"/>
          </w:tcPr>
          <w:p>
            <w:r/>
            <w:r>
              <w:rPr>
                <w:rFonts w:ascii="Calibri" w:hAnsi="Calibri"/>
                <w:b w:val="0"/>
                <w:i w:val="0"/>
                <w:color w:val="999999"/>
                <w:sz w:val="22"/>
              </w:rPr>
              <w:t>Bodemisolatie (kruipruimte)</w:t>
            </w:r>
          </w:p>
        </w:tc>
        <w:tc>
          <w:tcPr>
            <w:tcW w:type="dxa" w:w="1942"/>
          </w:tcPr>
          <w:p>
            <w:r/>
            <w:r>
              <w:rPr>
                <w:rFonts w:ascii="Calibri" w:hAnsi="Calibri"/>
                <w:b w:val="0"/>
                <w:i w:val="0"/>
                <w:color w:val="999999"/>
                <w:sz w:val="22"/>
              </w:rPr>
              <w:t>€ 3.00/m²</w:t>
            </w:r>
          </w:p>
        </w:tc>
        <w:tc>
          <w:tcPr>
            <w:tcW w:type="dxa" w:w="1942"/>
          </w:tcPr>
          <w:p>
            <w:r/>
            <w:r>
              <w:rPr>
                <w:rFonts w:ascii="Calibri" w:hAnsi="Calibri"/>
                <w:b w:val="0"/>
                <w:i w:val="0"/>
                <w:color w:val="999999"/>
                <w:sz w:val="22"/>
              </w:rPr>
              <w:t>+ € 1.00/m²</w:t>
            </w:r>
          </w:p>
        </w:tc>
        <w:tc>
          <w:tcPr>
            <w:tcW w:type="dxa" w:w="1942"/>
          </w:tcPr>
          <w:p>
            <w:r/>
            <w:r>
              <w:rPr>
                <w:rFonts w:ascii="Calibri" w:hAnsi="Calibri"/>
                <w:b w:val="0"/>
                <w:i w:val="0"/>
                <w:color w:val="999999"/>
                <w:sz w:val="22"/>
              </w:rPr>
              <w:t>Rc ≥ 1,3 m²K/W</w:t>
            </w:r>
          </w:p>
        </w:tc>
      </w:tr>
    </w:tbl>
    <w:p/>
    <w:tbl>
      <w:tblPr>
        <w:tblW w:w="9026" w:type="dxa"/>
        <w:tblLook w:firstColumn="1" w:firstRow="1" w:lastColumn="0" w:lastRow="0" w:noHBand="0" w:noVBand="1" w:val="04A0"/>
      </w:tblPr>
      <w:tblGrid>
        <w:gridCol w:w="3200"/>
        <w:gridCol w:w="2913"/>
        <w:gridCol w:w="2913"/>
      </w:tblGrid>
      <w:tr>
        <w:trPr>
          <w:trHeight w:val="400" w:hRule="atLeast"/>
        </w:trPr>
        <w:tc>
          <w:tcPr>
            <w:tcW w:w="3200" w:type="dxa"/>
            <w:shd w:val="clear" w:color="auto" w:fill="5AAA00"/>
          </w:tcPr>
          <w:p>
            <w:r/>
            <w:r>
              <w:rPr>
                <w:rFonts w:ascii="Calibri" w:hAnsi="Calibri"/>
                <w:b/>
                <w:i w:val="0"/>
                <w:color w:val="FFFFFF"/>
                <w:sz w:val="22"/>
              </w:rPr>
              <w:t>Type glas</w:t>
            </w:r>
          </w:p>
        </w:tc>
        <w:tc>
          <w:tcPr>
            <w:tcW w:w="2913" w:type="dxa"/>
            <w:shd w:val="clear" w:color="auto" w:fill="5AAA00"/>
          </w:tcPr>
          <w:p>
            <w:r/>
            <w:r>
              <w:rPr>
                <w:rFonts w:ascii="Calibri" w:hAnsi="Calibri"/>
                <w:b/>
                <w:i w:val="0"/>
                <w:color w:val="FFFFFF"/>
                <w:sz w:val="22"/>
              </w:rPr>
              <w:t>ISDE 2026 (€/m²)</w:t>
            </w:r>
          </w:p>
        </w:tc>
        <w:tc>
          <w:tcPr>
            <w:tcW w:w="2913" w:type="dxa"/>
            <w:shd w:val="clear" w:color="auto" w:fill="5AAA00"/>
          </w:tcPr>
          <w:p>
            <w:r/>
            <w:r>
              <w:rPr>
                <w:rFonts w:ascii="Calibri" w:hAnsi="Calibri"/>
                <w:b/>
                <w:i w:val="0"/>
                <w:color w:val="FFFFFF"/>
                <w:sz w:val="22"/>
              </w:rPr>
              <w:t>Min. U-waarde</w:t>
            </w:r>
          </w:p>
        </w:tc>
      </w:tr>
      <w:tr>
        <w:trPr>
          <w:trHeight w:val="400" w:hRule="atLeast"/>
        </w:trPr>
        <w:tc>
          <w:tcPr>
            <w:tcW w:type="dxa" w:w="3200"/>
            <w:shd w:val="clear" w:color="auto" w:fill="FFFFFF"/>
          </w:tcPr>
          <w:p>
            <w:r/>
            <w:r>
              <w:rPr>
                <w:rFonts w:ascii="Calibri" w:hAnsi="Calibri"/>
                <w:b/>
                <w:i w:val="0"/>
                <w:color w:val="1D1D1B"/>
                <w:sz w:val="22"/>
              </w:rPr>
              <w:t>HR++ glas</w:t>
            </w:r>
          </w:p>
        </w:tc>
        <w:tc>
          <w:tcPr>
            <w:tcW w:type="dxa" w:w="2913"/>
            <w:shd w:val="clear" w:color="auto" w:fill="FFFFFF"/>
          </w:tcPr>
          <w:p>
            <w:r/>
            <w:r>
              <w:rPr>
                <w:rFonts w:ascii="Calibri" w:hAnsi="Calibri"/>
                <w:b/>
                <w:i w:val="0"/>
                <w:color w:val="1D1D1B"/>
                <w:sz w:val="22"/>
              </w:rPr>
              <w:t>€ 12.50/m²</w:t>
            </w:r>
          </w:p>
        </w:tc>
        <w:tc>
          <w:tcPr>
            <w:tcW w:type="dxa" w:w="2913"/>
            <w:shd w:val="clear" w:color="auto" w:fill="FFFFFF"/>
          </w:tcPr>
          <w:p>
            <w:r/>
            <w:r>
              <w:rPr>
                <w:rFonts w:ascii="Calibri" w:hAnsi="Calibri"/>
                <w:b w:val="0"/>
                <w:i w:val="0"/>
                <w:color w:val="1D1D1B"/>
                <w:sz w:val="22"/>
              </w:rPr>
              <w:t>U ≤ 1,2 W/m²K</w:t>
            </w:r>
          </w:p>
        </w:tc>
      </w:tr>
      <w:tr>
        <w:trPr>
          <w:trHeight w:val="400" w:hRule="atLeast"/>
        </w:trPr>
        <w:tc>
          <w:tcPr>
            <w:tcW w:type="dxa" w:w="3200"/>
            <w:shd w:val="clear" w:color="auto" w:fill="FFFFFF"/>
          </w:tcPr>
          <w:p>
            <w:r/>
            <w:r>
              <w:rPr>
                <w:rFonts w:ascii="Calibri" w:hAnsi="Calibri"/>
                <w:b/>
                <w:i w:val="0"/>
                <w:color w:val="1D1D1B"/>
                <w:sz w:val="22"/>
              </w:rPr>
              <w:t>Vacuümglas</w:t>
            </w:r>
          </w:p>
        </w:tc>
        <w:tc>
          <w:tcPr>
            <w:tcW w:type="dxa" w:w="2913"/>
            <w:shd w:val="clear" w:color="auto" w:fill="FFFFFF"/>
          </w:tcPr>
          <w:p>
            <w:r/>
            <w:r>
              <w:rPr>
                <w:rFonts w:ascii="Calibri" w:hAnsi="Calibri"/>
                <w:b/>
                <w:i w:val="0"/>
                <w:color w:val="1D1D1B"/>
                <w:sz w:val="22"/>
              </w:rPr>
              <w:t>€ 25.00/m²</w:t>
            </w:r>
          </w:p>
        </w:tc>
        <w:tc>
          <w:tcPr>
            <w:tcW w:type="dxa" w:w="2913"/>
            <w:shd w:val="clear" w:color="auto" w:fill="FFFFFF"/>
          </w:tcPr>
          <w:p>
            <w:r/>
            <w:r>
              <w:rPr>
                <w:rFonts w:ascii="Calibri" w:hAnsi="Calibri"/>
                <w:b w:val="0"/>
                <w:i w:val="0"/>
                <w:color w:val="1D1D1B"/>
                <w:sz w:val="22"/>
              </w:rPr>
              <w:t>U ≤ 0,7 W/m²K</w:t>
            </w:r>
          </w:p>
        </w:tc>
      </w:tr>
      <w:tr>
        <w:trPr>
          <w:trHeight w:val="400" w:hRule="atLeast"/>
        </w:trPr>
        <w:tc>
          <w:tcPr>
            <w:tcW w:type="dxa" w:w="3200"/>
            <w:shd w:val="clear" w:color="auto" w:fill="FFFFFF"/>
          </w:tcPr>
          <w:p>
            <w:r/>
            <w:r>
              <w:rPr>
                <w:rFonts w:ascii="Calibri" w:hAnsi="Calibri"/>
                <w:b/>
                <w:i w:val="0"/>
                <w:color w:val="1D1D1B"/>
                <w:sz w:val="22"/>
              </w:rPr>
              <w:t>Triple glas</w:t>
            </w:r>
          </w:p>
        </w:tc>
        <w:tc>
          <w:tcPr>
            <w:tcW w:type="dxa" w:w="2913"/>
            <w:shd w:val="clear" w:color="auto" w:fill="FFFFFF"/>
          </w:tcPr>
          <w:p>
            <w:r/>
            <w:r>
              <w:rPr>
                <w:rFonts w:ascii="Calibri" w:hAnsi="Calibri"/>
                <w:b/>
                <w:i w:val="0"/>
                <w:color w:val="1D1D1B"/>
                <w:sz w:val="22"/>
              </w:rPr>
              <w:t>€ 111.00/m²</w:t>
            </w:r>
          </w:p>
        </w:tc>
        <w:tc>
          <w:tcPr>
            <w:tcW w:type="dxa" w:w="2913"/>
            <w:shd w:val="clear" w:color="auto" w:fill="FFFFFF"/>
          </w:tcPr>
          <w:p>
            <w:r/>
            <w:r>
              <w:rPr>
                <w:rFonts w:ascii="Calibri" w:hAnsi="Calibri"/>
                <w:b w:val="0"/>
                <w:i w:val="0"/>
                <w:color w:val="1D1D1B"/>
                <w:sz w:val="22"/>
              </w:rPr>
              <w:t>U ≤ 0,7 W/m²K</w:t>
            </w:r>
          </w:p>
        </w:tc>
      </w:tr>
      <w:tr>
        <w:trPr>
          <w:trHeight w:val="400" w:hRule="atLeast"/>
        </w:trPr>
        <w:tc>
          <w:tcPr>
            <w:tcW w:type="dxa" w:w="3200"/>
            <w:shd w:val="clear" w:color="auto" w:fill="FFFFFF"/>
          </w:tcPr>
          <w:p>
            <w:r/>
            <w:r>
              <w:rPr>
                <w:rFonts w:ascii="Calibri" w:hAnsi="Calibri"/>
                <w:b/>
                <w:i w:val="0"/>
                <w:color w:val="1D1D1B"/>
                <w:sz w:val="22"/>
              </w:rPr>
              <w:t>Isolerende deuren</w:t>
            </w:r>
          </w:p>
        </w:tc>
        <w:tc>
          <w:tcPr>
            <w:tcW w:type="dxa" w:w="2913"/>
            <w:shd w:val="clear" w:color="auto" w:fill="FFFFFF"/>
          </w:tcPr>
          <w:p>
            <w:r/>
            <w:r>
              <w:rPr>
                <w:rFonts w:ascii="Calibri" w:hAnsi="Calibri"/>
                <w:b/>
                <w:i w:val="0"/>
                <w:color w:val="1D1D1B"/>
                <w:sz w:val="22"/>
              </w:rPr>
              <w:t>€ 111.00/m²</w:t>
            </w:r>
          </w:p>
        </w:tc>
        <w:tc>
          <w:tcPr>
            <w:tcW w:type="dxa" w:w="2913"/>
            <w:shd w:val="clear" w:color="auto" w:fill="FFFFFF"/>
          </w:tcPr>
          <w:p>
            <w:r/>
            <w:r>
              <w:rPr>
                <w:rFonts w:ascii="Calibri" w:hAnsi="Calibri"/>
                <w:b w:val="0"/>
                <w:i w:val="0"/>
                <w:color w:val="1D1D1B"/>
                <w:sz w:val="22"/>
              </w:rPr>
              <w:t>U ≤ 1,0 W/m²K</w:t>
            </w:r>
          </w:p>
        </w:tc>
      </w:tr>
    </w:tbl>
    <w:p/>
    <w:tbl>
      <w:tblPr>
        <w:tblW w:w="9026" w:type="dxa"/>
        <w:tblLook w:firstColumn="1" w:firstRow="1" w:lastColumn="0" w:lastRow="0" w:noHBand="0" w:noVBand="1" w:val="04A0"/>
      </w:tblPr>
      <w:tblGrid>
        <w:gridCol w:w="3200"/>
        <w:gridCol w:w="1942"/>
        <w:gridCol w:w="1942"/>
        <w:gridCol w:w="1942"/>
      </w:tblGrid>
      <w:tr>
        <w:trPr>
          <w:trHeight w:val="400" w:hRule="atLeast"/>
        </w:trPr>
        <w:tc>
          <w:tcPr>
            <w:tcW w:w="3200" w:type="dxa"/>
            <w:shd w:val="clear" w:color="auto" w:fill="5AAA00"/>
          </w:tcPr>
          <w:p>
            <w:r/>
            <w:r>
              <w:rPr>
                <w:rFonts w:ascii="Calibri" w:hAnsi="Calibri"/>
                <w:b/>
                <w:i w:val="0"/>
                <w:color w:val="FFFFFF"/>
                <w:sz w:val="22"/>
              </w:rPr>
              <w:t>Combinatie</w:t>
            </w:r>
          </w:p>
        </w:tc>
        <w:tc>
          <w:tcPr>
            <w:tcW w:w="1942" w:type="dxa"/>
            <w:shd w:val="clear" w:color="auto" w:fill="5AAA00"/>
          </w:tcPr>
          <w:p>
            <w:r/>
            <w:r>
              <w:rPr>
                <w:rFonts w:ascii="Calibri" w:hAnsi="Calibri"/>
                <w:b/>
                <w:i w:val="0"/>
                <w:color w:val="FFFFFF"/>
                <w:sz w:val="22"/>
              </w:rPr>
              <w:t>Startbedrag</w:t>
            </w:r>
          </w:p>
        </w:tc>
        <w:tc>
          <w:tcPr>
            <w:tcW w:w="1942" w:type="dxa"/>
            <w:shd w:val="clear" w:color="auto" w:fill="5AAA00"/>
          </w:tcPr>
          <w:p>
            <w:r/>
            <w:r>
              <w:rPr>
                <w:rFonts w:ascii="Calibri" w:hAnsi="Calibri"/>
                <w:b/>
                <w:i w:val="0"/>
                <w:color w:val="FFFFFF"/>
                <w:sz w:val="22"/>
              </w:rPr>
              <w:t>Per kW vermogen</w:t>
            </w:r>
          </w:p>
        </w:tc>
        <w:tc>
          <w:tcPr>
            <w:tcW w:w="1942" w:type="dxa"/>
            <w:shd w:val="clear" w:color="auto" w:fill="5AAA00"/>
          </w:tcPr>
          <w:p>
            <w:r/>
            <w:r>
              <w:rPr>
                <w:rFonts w:ascii="Calibri" w:hAnsi="Calibri"/>
                <w:b/>
                <w:i w:val="0"/>
                <w:color w:val="FFFFFF"/>
                <w:sz w:val="22"/>
              </w:rPr>
              <w:t>A+++ bonus</w:t>
            </w:r>
          </w:p>
        </w:tc>
      </w:tr>
      <w:tr>
        <w:trPr>
          <w:trHeight w:val="400" w:hRule="atLeast"/>
        </w:trPr>
        <w:tc>
          <w:tcPr>
            <w:tcW w:w="3200" w:type="dxa"/>
            <w:shd w:val="clear" w:color="auto" w:fill="FFFFFF"/>
          </w:tcPr>
          <w:p>
            <w:r/>
            <w:r>
              <w:rPr>
                <w:rFonts w:ascii="Calibri" w:hAnsi="Calibri"/>
                <w:b/>
                <w:i w:val="0"/>
                <w:color w:val="2E7D32"/>
                <w:sz w:val="22"/>
              </w:rPr>
              <w:t>Isolatie + warmtepomp</w:t>
            </w:r>
          </w:p>
        </w:tc>
        <w:tc>
          <w:tcPr>
            <w:tcW w:w="1942" w:type="dxa"/>
            <w:shd w:val="clear" w:color="auto" w:fill="FFFFFF"/>
          </w:tcPr>
          <w:p>
            <w:r/>
            <w:r>
              <w:rPr>
                <w:rFonts w:ascii="Calibri" w:hAnsi="Calibri"/>
                <w:b w:val="0"/>
                <w:i w:val="0"/>
                <w:color w:val="2E7D32"/>
                <w:sz w:val="22"/>
              </w:rPr>
              <w:t>€ 1,025</w:t>
            </w:r>
          </w:p>
        </w:tc>
        <w:tc>
          <w:tcPr>
            <w:tcW w:w="1942" w:type="dxa"/>
            <w:shd w:val="clear" w:color="auto" w:fill="FFFFFF"/>
          </w:tcPr>
          <w:p>
            <w:r/>
            <w:r>
              <w:rPr>
                <w:rFonts w:ascii="Calibri" w:hAnsi="Calibri"/>
                <w:b w:val="0"/>
                <w:i w:val="0"/>
                <w:color w:val="2E7D32"/>
                <w:sz w:val="22"/>
              </w:rPr>
              <w:t>+ € 225 per kW</w:t>
            </w:r>
          </w:p>
        </w:tc>
        <w:tc>
          <w:tcPr>
            <w:tcW w:w="1942" w:type="dxa"/>
            <w:shd w:val="clear" w:color="auto" w:fill="FFFFFF"/>
          </w:tcPr>
          <w:p>
            <w:r/>
            <w:r>
              <w:rPr>
                <w:rFonts w:ascii="Calibri" w:hAnsi="Calibri"/>
                <w:b w:val="0"/>
                <w:i w:val="0"/>
                <w:color w:val="2E7D32"/>
                <w:sz w:val="22"/>
              </w:rPr>
              <w:t>+ € 200</w:t>
            </w:r>
          </w:p>
        </w:tc>
      </w:tr>
      <w:tr>
        <w:tc>
          <w:tcPr>
            <w:tcW w:w="9026" w:type="dxa"/>
            <w:gridSpan w:val="4"/>
            <w:shd w:val="clear" w:color="auto" w:fill="FFFFFF"/>
          </w:tcPr>
          <w:p>
            <w:r/>
            <w:r>
              <w:rPr>
                <w:rFonts w:ascii="Calibri" w:hAnsi="Calibri"/>
                <w:b w:val="0"/>
                <w:i/>
                <w:color w:val="2E7D32"/>
                <w:sz w:val="22"/>
              </w:rPr>
              <w:t>De schil is al op orde. Doe de 50-graden test om te zien of het afgiftesysteem klaar is voor een warmtepomp.</w:t>
            </w:r>
          </w:p>
        </w:tc>
      </w:tr>
    </w:tbl>
    <w:p/>
    <w:tbl>
      <w:tblPr>
        <w:tblW w:type="auto" w:w="0"/>
        <w:tblLook w:firstColumn="1" w:firstRow="1" w:lastColumn="0" w:lastRow="0" w:noHBand="0" w:noVBand="1" w:val="04A0"/>
      </w:tblPr>
      <w:tblGrid>
        <w:gridCol w:w="9638"/>
      </w:tblGrid>
      <w:tr>
        <w:trPr>
          <w:trHeight w:val="400" w:hRule="atLeast"/>
        </w:trPr>
        <w:tc>
          <w:tcPr>
            <w:tcW w:type="dxa" w:w="9638"/>
            <w:shd w:val="clear" w:color="auto" w:fill="FFFFFF"/>
          </w:tcPr>
          <w:p>
            <w:r/>
            <w:r>
              <w:rPr>
                <w:rFonts w:ascii="Calibri" w:hAnsi="Calibri"/>
                <w:b w:val="0"/>
                <w:i/>
                <w:sz w:val="22"/>
              </w:rPr>
              <w:t>De getoonde bedragen zijn de basisbedragen (ISDE 2026). Uw subsidiebedrag verdubbelt als u meer dan één isolatiemaatregel uitvoert, of een isolatiemaatregel combineert met een warmtepomp, zonneboiler of aansluiting op een warmtenet. Vraag subsidie aan binnen 24 maanden na de eerste maatregel. Subsidie verdubbelt niet bij combinatie met uitsluitend ventilatie, en de biobased bonus verdubbelt niet bij de tweede maatregel.</w:t>
            </w:r>
          </w:p>
        </w:tc>
      </w:tr>
      <w:tr>
        <w:tc>
          <w:tcPr>
            <w:tcW w:type="dxa" w:w="9638"/>
            <w:shd w:val="clear" w:color="auto" w:fill="FFFFFF"/>
          </w:tcPr>
          <w:p>
            <w:r/>
            <w:r>
              <w:rPr>
                <w:rFonts w:ascii="Calibri" w:hAnsi="Calibri"/>
                <w:b w:val="0"/>
                <w:i/>
                <w:sz w:val="22"/>
              </w:rPr>
              <w:t>Let op: Schil is al redelijk op orde (Rc ≥ 2,5). Prioriteit ligt bij installatietechniek; isolatiesubsidie is hier aanvullend.</w:t>
            </w:r>
          </w:p>
        </w:tc>
      </w:tr>
      <w:tr>
        <w:tc>
          <w:tcPr>
            <w:tcW w:type="dxa" w:w="9638"/>
            <w:shd w:val="clear" w:color="auto" w:fill="FFFFFF"/>
          </w:tcPr>
          <w:p>
            <w:r/>
            <w:r>
              <w:rPr>
                <w:rFonts w:ascii="Calibri" w:hAnsi="Calibri"/>
                <w:b w:val="0"/>
                <w:i w:val="0"/>
                <w:sz w:val="22"/>
              </w:rPr>
              <w:t>• Verdubbeling: de genoemde m²-bedragen gelden bij twee of meer maatregelen (of één isolatiemaatregel gecombineerd met een warmtepomp). Bij slechts één maatregel wordt het bedrag gehalveerd.</w:t>
            </w:r>
          </w:p>
        </w:tc>
      </w:tr>
      <w:tr>
        <w:tc>
          <w:tcPr>
            <w:tcW w:type="dxa" w:w="9638"/>
            <w:shd w:val="clear" w:color="auto" w:fill="FFFFFF"/>
          </w:tcPr>
          <w:p>
            <w:r/>
            <w:r>
              <w:rPr>
                <w:rFonts w:ascii="Calibri" w:hAnsi="Calibri"/>
                <w:b w:val="0"/>
                <w:i w:val="0"/>
                <w:sz w:val="22"/>
              </w:rPr>
              <w:t>• Beperkingen: u ontvangt slechts subsidie voor één type vloerisolatie (bodem óf vloer) en één type dakisolatie (dak óf zoldervloer).</w:t>
            </w:r>
          </w:p>
        </w:tc>
      </w:tr>
      <w:tr>
        <w:tc>
          <w:tcPr>
            <w:tcW w:type="dxa" w:w="9638"/>
            <w:shd w:val="clear" w:color="auto" w:fill="FFFFFF"/>
          </w:tcPr>
          <w:p>
            <w:r/>
            <w:r>
              <w:rPr>
                <w:rFonts w:ascii="Calibri" w:hAnsi="Calibri"/>
                <w:b w:val="0"/>
                <w:i w:val="0"/>
                <w:sz w:val="22"/>
              </w:rPr>
              <w:t>• Oppervlaktes: let op de minimale oppervlakte-eisen (bijv. minimaal 10 m² voor gevel en 20 m² voor dak/vloer).</w:t>
            </w:r>
          </w:p>
        </w:tc>
      </w:tr>
    </w:tbl>
    <w:p w14:paraId="6D6ED4B9" w14:textId="77777777" w:rsidR="0072010A" w:rsidRDefault="0072010A">
      <w:pPr>
        <w:pBdr>
          <w:bottom w:val="single" w:sz="2" w:space="1" w:color="D0D8EC"/>
        </w:pBdr>
        <w:spacing w:before="160" w:after="160"/>
      </w:pPr>
    </w:p>
    <w:p w14:paraId="6D6ED4BA" w14:textId="1A20C285" w:rsidR="0072010A" w:rsidRPr="00DC422D" w:rsidRDefault="00B346C3">
      <w:pPr>
        <w:pStyle w:val="Kop1"/>
        <w:pBdr>
          <w:bottom w:val="single" w:sz="4" w:space="4" w:color="2E6BE6"/>
        </w:pBdr>
        <w:rPr>
          <w:color w:val="5AAA00"/>
        </w:rPr>
      </w:pPr>
      <w:r w:rsidRPr="00DC422D">
        <w:rPr>
          <w:color w:val="5AAA00"/>
        </w:rPr>
        <w:t>Vervolgstappen</w:t>
      </w:r>
    </w:p>
    <w:p w14:paraId="6D6ED4BB" w14:textId="77777777" w:rsidR="0072010A" w:rsidRPr="00721FA8" w:rsidRDefault="00B346C3">
      <w:pPr>
        <w:pStyle w:val="Lijstalinea"/>
        <w:numPr>
          <w:ilvl w:val="0"/>
          <w:numId w:val="2"/>
        </w:numPr>
        <w:spacing w:before="60" w:after="60"/>
        <w:rPr>
          <w:color w:val="FF0000"/>
        </w:rPr>
      </w:pPr>
      <w:r w:rsidRPr="00721FA8">
        <w:rPr>
          <w:color w:val="FF0000"/>
        </w:rPr>
        <w:t>Upload foto’s van dak, gevel, glas, installaties en kruipruimte</w:t>
      </w:r>
    </w:p>
    <w:p w14:paraId="6D6ED4BC" w14:textId="77777777" w:rsidR="0072010A" w:rsidRPr="00721FA8" w:rsidRDefault="00B346C3">
      <w:pPr>
        <w:pStyle w:val="Lijstalinea"/>
        <w:numPr>
          <w:ilvl w:val="0"/>
          <w:numId w:val="2"/>
        </w:numPr>
        <w:spacing w:before="60" w:after="60"/>
        <w:rPr>
          <w:color w:val="FF0000"/>
        </w:rPr>
      </w:pPr>
      <w:r w:rsidRPr="00721FA8">
        <w:rPr>
          <w:color w:val="FF0000"/>
        </w:rPr>
        <w:t>Bevestig woningtype en eventuele renovatiejaren</w:t>
      </w:r>
    </w:p>
    <w:p w14:paraId="6D6ED4BD" w14:textId="77777777" w:rsidR="0072010A" w:rsidRPr="00721FA8" w:rsidRDefault="00B346C3">
      <w:pPr>
        <w:pStyle w:val="Lijstalinea"/>
        <w:numPr>
          <w:ilvl w:val="0"/>
          <w:numId w:val="2"/>
        </w:numPr>
        <w:spacing w:before="60" w:after="60"/>
        <w:rPr>
          <w:color w:val="FF0000"/>
        </w:rPr>
      </w:pPr>
      <w:r w:rsidRPr="00721FA8">
        <w:rPr>
          <w:color w:val="FF0000"/>
        </w:rPr>
        <w:t>Gebruik dit rapport als basis voor offerte- of adviesgesprekken</w:t>
      </w:r>
    </w:p>
    <w:p w14:paraId="6D6ED4BE" w14:textId="77777777" w:rsidR="0072010A" w:rsidRDefault="0072010A">
      <w:pPr>
        <w:spacing w:before="320" w:after="80"/>
      </w:pPr>
    </w:p>
    <w:p>
      <w:pPr>
        <w:spacing w:before="0" w:after="0"/>
      </w:pPr>
      <w:r>
        <w:br w:type="page"/>
      </w:r>
    </w:p>
    <w:tbl>
      <w:tblPr>
        <w:tblW w:w="5000" w:type="pct"/>
        <w:tblBorders>
          <w:top w:val="none"/>
          <w:left w:val="none"/>
          <w:bottom w:val="none"/>
          <w:right w:val="none"/>
          <w:insideH w:val="none"/>
          <w:insideV w:val="none"/>
        </w:tblBorders>
      </w:tblPr>
      <w:tblGrid>
        <w:gridCol w:w="9026"/>
      </w:tblGrid>
      <w:tr>
        <w:trPr>
          <w:trHeight w:val="1100" w:hRule="atLeast"/>
        </w:trPr>
        <w:tc>
          <w:tcPr>
            <w:tcW w:w="5000" w:type="pct"/>
            <w:shd w:val="clear" w:color="auto" w:fill="1A1A1A"/>
            <w:tcMar>
              <w:top w:w="220" w:type="dxa"/>
              <w:left w:w="320" w:type="dxa"/>
              <w:bottom w:w="220" w:type="dxa"/>
              <w:right w:w="320" w:type="dxa"/>
            </w:tcMar>
          </w:tcPr>
          <w:p>
            <w:pPr>
              <w:spacing w:before="0" w:after="60"/>
              <w:shd w:val="clear" w:color="auto" w:fill="1A1A1A"/>
            </w:pPr>
            <w:r>
              <w:rPr>
                <w:b/>
                <w:rFonts w:ascii="Calibri" w:hAnsi="Calibri" w:cs="Calibri"/>
                <w:sz w:val="44"/>
                <w:szCs w:val="44"/>
                <w:color w:val="FFFFFF"/>
              </w:rPr>
              <w:t xml:space="preserve">Pand</w:t>
            </w:r>
            <w:r>
              <w:rPr>
                <w:b/>
                <w:rFonts w:ascii="Calibri" w:hAnsi="Calibri" w:cs="Calibri"/>
                <w:sz w:val="44"/>
                <w:szCs w:val="44"/>
                <w:color w:val="5AAA00"/>
              </w:rPr>
              <w:t xml:space="preserve">IQ</w:t>
            </w:r>
          </w:p>
          <w:p>
            <w:pPr>
              <w:spacing w:before="0" w:after="0"/>
              <w:shd w:val="clear" w:color="auto" w:fill="1A1A1A"/>
            </w:pPr>
            <w:r>
              <w:rPr>
                <w:b/>
                <w:rFonts w:ascii="Calibri" w:hAnsi="Calibri" w:cs="Calibri"/>
                <w:sz w:val="16"/>
                <w:szCs w:val="16"/>
                <w:color w:val="5AAA00"/>
              </w:rPr>
              <w:t xml:space="preserve">WONEN</w:t>
            </w:r>
          </w:p>
        </w:tc>
      </w:tr>
    </w:tbl>
    <w:tbl>
      <w:tblPr>
        <w:tblW w:w="5000" w:type="pct"/>
        <w:tblBorders>
          <w:top w:val="none"/>
          <w:left w:val="none"/>
          <w:bottom w:val="none"/>
          <w:right w:val="none"/>
          <w:insideH w:val="none"/>
          <w:insideV w:val="none"/>
        </w:tblBorders>
      </w:tblPr>
      <w:tblGrid>
        <w:gridCol w:w="9026"/>
      </w:tblGrid>
      <w:tr>
        <w:trPr>
          <w:trHeight w:val="80" w:hRule="atLeast"/>
        </w:trPr>
        <w:tc>
          <w:tcPr>
            <w:tcW w:w="5000" w:type="pct"/>
            <w:shd w:val="clear" w:color="auto" w:fill="D4E832"/>
            <w:tcMar>
              <w:top w:w="220" w:type="dxa"/>
              <w:left w:w="320" w:type="dxa"/>
              <w:bottom w:w="220" w:type="dxa"/>
              <w:right w:w="320" w:type="dxa"/>
            </w:tcMar>
          </w:tcPr>
          <w:p>
            <w:pPr>
              <w:spacing w:before="0" w:after="160"/>
              <w:shd w:val="clear" w:color="auto" w:fill="D4E832"/>
            </w:pPr>
          </w:p>
        </w:tc>
      </w:tr>
    </w:tbl>
    <w:p>
      <w:pPr>
        <w:spacing w:before="400" w:after="0"/>
      </w:pPr>
    </w:p>
    <w:p>
      <w:pPr>
        <w:spacing w:before="0" w:after="100"/>
      </w:pPr>
      <w:r>
        <w:rPr>
          <w:b/>
          <w:rFonts w:ascii="Calibri" w:hAnsi="Calibri" w:cs="Calibri"/>
          <w:sz w:val="44"/>
          <w:szCs w:val="44"/>
          <w:color w:val="1A1A1A"/>
        </w:rPr>
        <w:t xml:space="preserve">Uw regisseur in verduurzaming</w:t>
      </w:r>
    </w:p>
    <w:p>
      <w:pPr>
        <w:spacing w:before="0" w:after="200"/>
      </w:pPr>
      <w:r>
        <w:rPr>
          <w:rFonts w:ascii="Calibri" w:hAnsi="Calibri" w:cs="Calibri"/>
          <w:sz w:val="22"/>
          <w:szCs w:val="22"/>
          <w:color w:val="333333"/>
        </w:rPr>
        <w:t xml:space="preserve">Met de juiste keuzes haalt u meer uit uw woning en uw budget. Door maatregelen slim te combineren kan uw subsidie zelfs verdubbelen.</w:t>
      </w:r>
    </w:p>
    <w:tbl>
      <w:tblPr>
        <w:tblW w:w="5000" w:type="pct"/>
        <w:tblBorders>
          <w:top w:val="none"/>
          <w:left w:val="none"/>
          <w:bottom w:val="none"/>
          <w:right w:val="none"/>
          <w:insideH w:val="none"/>
          <w:insideV w:val="none"/>
        </w:tblBorders>
      </w:tblPr>
      <w:tblGrid>
        <w:gridCol w:w="9026"/>
      </w:tblGrid>
      <w:tr>
        <w:trPr>
          <w:trHeight w:val="400" w:hRule="atLeast"/>
        </w:trPr>
        <w:tc>
          <w:tcPr>
            <w:tcW w:w="5000" w:type="pct"/>
            <w:shd w:val="clear" w:color="auto" w:fill="EEF6E0"/>
            <w:tcMar>
              <w:top w:w="220" w:type="dxa"/>
              <w:left w:w="320" w:type="dxa"/>
              <w:bottom w:w="220" w:type="dxa"/>
              <w:right w:w="320" w:type="dxa"/>
            </w:tcMar>
          </w:tcPr>
          <w:p>
            <w:pPr>
              <w:spacing w:before="0" w:after="0"/>
              <w:shd w:val="clear" w:color="auto" w:fill="EEF6E0"/>
            </w:pPr>
            <w:r>
              <w:rPr>
                <w:rFonts w:ascii="Calibri" w:hAnsi="Calibri" w:cs="Calibri"/>
                <w:sz w:val="22"/>
                <w:szCs w:val="22"/>
                <w:color w:val="1A4A00"/>
              </w:rPr>
              <w:t xml:space="preserve">PandIQ geeft u overzicht en helpt u met het inschatten van bouwkosten, het aanvragen van offertes, subsidieaanvragen en andere besparingen — alles in één dashboard.</w:t>
            </w:r>
          </w:p>
        </w:tc>
      </w:tr>
    </w:tbl>
    <w:p>
      <w:pPr>
        <w:spacing w:before="200" w:after="0"/>
      </w:pPr>
    </w:p>
    <w:p>
      <w:pPr>
        <w:spacing w:before="0" w:after="160"/>
      </w:pPr>
      <w:r>
        <w:rPr>
          <w:rFonts w:ascii="Calibri" w:hAnsi="Calibri" w:cs="Calibri"/>
          <w:sz w:val="22"/>
          <w:szCs w:val="22"/>
          <w:color w:val="333333"/>
        </w:rPr>
        <w:t xml:space="preserve">Maak een account aan en ontdek wat er mogelijk is. Het kost weinig moeite en levert vaak direct voordeel op.</w:t>
      </w:r>
    </w:p>
    <w:p>
      <w:pPr>
        <w:spacing w:before="80" w:after="280"/>
      </w:pPr>
      <w:r>
        <w:rPr>
          <w:b/>
          <w:rFonts w:ascii="Calibri" w:hAnsi="Calibri" w:cs="Calibri"/>
          <w:sz w:val="26"/>
          <w:szCs w:val="26"/>
          <w:color w:val="5AAA00"/>
        </w:rPr>
        <w:t xml:space="preserve">Word geen slapende betaler, maar wees slim en bespaar.</w:t>
      </w:r>
    </w:p>
    <w:tbl>
      <w:tblPr>
        <w:tblW w:w="5000" w:type="pct"/>
        <w:tblBorders>
          <w:top w:val="none"/>
          <w:left w:val="none"/>
          <w:bottom w:val="none"/>
          <w:right w:val="none"/>
          <w:insideH w:val="none"/>
          <w:insideV w:val="none"/>
        </w:tblBorders>
      </w:tblPr>
      <w:tblGrid>
        <w:gridCol w:w="9026"/>
      </w:tblGrid>
      <w:tr>
        <w:trPr>
          <w:trHeight w:val="480" w:hRule="atLeast"/>
        </w:trPr>
        <w:tc>
          <w:tcPr>
            <w:tcW w:w="5000" w:type="pct"/>
            <w:shd w:val="clear" w:color="auto" w:fill="D4E832"/>
            <w:tcMar>
              <w:top w:w="180" w:type="dxa"/>
              <w:left w:w="320" w:type="dxa"/>
              <w:bottom w:w="180" w:type="dxa"/>
              <w:right w:w="320" w:type="dxa"/>
            </w:tcMar>
          </w:tcPr>
          <w:p>
            <w:pPr>
              <w:spacing w:before="0" w:after="0"/>
              <w:shd w:val="clear" w:color="auto" w:fill="D4E832"/>
            </w:pPr>
            <w:r>
              <w:rPr>
                <w:b/>
                <w:rFonts w:ascii="Calibri" w:hAnsi="Calibri" w:cs="Calibri"/>
                <w:sz w:val="22"/>
                <w:szCs w:val="22"/>
                <w:color w:val="1A1A1A"/>
              </w:rPr>
              <w:t xml:space="preserve">Bekijk of uw woning klaar is voor gasloos wonen met een warmtepomp</w:t>
            </w:r>
            <w:r>
              <w:rPr>
                <w:b/>
                <w:rFonts w:ascii="Calibri" w:hAnsi="Calibri" w:cs="Calibri"/>
                <w:sz w:val="24"/>
                <w:szCs w:val="24"/>
                <w:color w:val="1A1A1A"/>
              </w:rPr>
              <w:t xml:space="preserve">  →</w:t>
            </w:r>
          </w:p>
          <w:p>
            <w:pPr>
              <w:spacing w:before="0" w:after="0"/>
              <w:shd w:val="clear" w:color="auto" w:fill="D4E832"/>
            </w:pPr>
            <w:r>
              <w:rPr>
                <w:rFonts w:ascii="Calibri" w:hAnsi="Calibri" w:cs="Calibri"/>
                <w:sz w:val="18"/>
                <w:szCs w:val="18"/>
                <w:color w:val="333333"/>
              </w:rPr>
              <w:t xml:space="preserve">https://www.pandiq.nl/gasloos</w:t>
            </w:r>
          </w:p>
        </w:tc>
      </w:tr>
    </w:tbl>
    <w:p>
      <w:pPr>
        <w:spacing w:before="480" w:after="0"/>
      </w:pPr>
    </w:p>
    <w:p>
      <w:pPr>
        <w:spacing w:before="0" w:after="0"/>
      </w:pPr>
      <w:r>
        <w:rPr>
          <w:i/>
          <w:rFonts w:ascii="Calibri" w:hAnsi="Calibri" w:cs="Calibri"/>
          <w:sz w:val="18"/>
          <w:szCs w:val="18"/>
          <w:color w:val="999999"/>
        </w:rPr>
        <w:t xml:space="preserve">Disclaimer: dit rapport is indicatief en gebaseerd op registraties en aannames. Aan dit document kunnen geen rechten worden ontleend. Uitvoering vereist altijd verificatie op locatie en controle van actuele regelgeving.</w:t>
      </w:r>
    </w:p>
    <w:sectPr w:rsidR="0072010A">
      <w:headerReference w:type="default" r:id="rId10"/>
      <w:footerReference w:type="default" r:id="rId11"/>
      <w:headerReference w:type="first" r:id="rId14"/>
      <w:pgSz w:w="11906" w:h="16838"/>
      <w:pgMar w:top="1134"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BFAF3" w14:textId="77777777" w:rsidR="005D45C7" w:rsidRDefault="005D45C7">
      <w:r>
        <w:separator/>
      </w:r>
    </w:p>
  </w:endnote>
  <w:endnote w:type="continuationSeparator" w:id="0">
    <w:p w14:paraId="06B16ED1" w14:textId="77777777" w:rsidR="005D45C7" w:rsidRDefault="005D4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ED4C4" w14:textId="77777777" w:rsidR="0072010A" w:rsidRDefault="00B346C3">
    <w:pPr>
      <w:pBdr>
        <w:top w:val="single" w:sz="2" w:space="4" w:color="D0D8EC"/>
      </w:pBdr>
      <w:tabs>
        <w:tab w:val="right" w:pos="9026"/>
      </w:tabs>
      <w:spacing w:before="80"/>
    </w:pPr>
    <w:r>
      <w:rPr>
        <w:color w:val="5A6A85"/>
        <w:sz w:val="16"/>
        <w:szCs w:val="16"/>
      </w:rPr>
      <w:t>Indicatief rapport · PandIQ · www.pandiq.nl</w:t>
    </w:r>
    <w:r>
      <w:rPr>
        <w:color w:val="5A6A85"/>
        <w:sz w:val="16"/>
        <w:szCs w:val="16"/>
      </w:rPr>
      <w:tab/>
      <w:t xml:space="preserve">Pagina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F9CC4" w14:textId="77777777" w:rsidR="005D45C7" w:rsidRDefault="005D45C7">
      <w:r>
        <w:separator/>
      </w:r>
    </w:p>
  </w:footnote>
  <w:footnote w:type="continuationSeparator" w:id="0">
    <w:p w14:paraId="50B89E44" w14:textId="77777777" w:rsidR="005D45C7" w:rsidRDefault="005D45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right w:val="none" w:sz="0" w:space="0" w:color="FFFFFF"/>
        <w:insideH w:val="none" w:sz="0" w:space="0" w:color="FFFFFF"/>
        <w:insideV w:val="none" w:sz="0" w:space="0" w:color="FFFFFF"/>
        <w:bottom w:val="single" w:sz="6" w:space="0" w:color="D4E832"/>
      </w:tblBorders>
      <w:tblCellMar>
        <w:left w:w="10" w:type="dxa"/>
        <w:right w:w="10" w:type="dxa"/>
      </w:tblCellMar>
    </w:tblPr>
    <w:tblGrid>
      <w:gridCol w:w="4513"/>
      <w:gridCol w:w="4513"/>
    </w:tblGrid>
    <w:tr>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pPr>
          <w:r>
            <w:rPr>
              <w:b/>
              <w:rFonts w:ascii="Calibri" w:hAnsi="Calibri" w:cs="Calibri"/>
              <w:sz w:val="28"/>
              <w:szCs w:val="28"/>
              <w:color w:val="1A1A1A"/>
            </w:rPr>
            <w:t xml:space="preserve">Pand</w:t>
          </w:r>
          <w:r>
            <w:rPr>
              <w:b/>
              <w:rFonts w:ascii="Calibri" w:hAnsi="Calibri" w:cs="Calibri"/>
              <w:sz w:val="28"/>
              <w:szCs w:val="28"/>
              <w:color w:val="5AAA00"/>
            </w:rPr>
            <w:t xml:space="preserve">IQ</w:t>
          </w:r>
          <w:r>
            <w:rPr>
              <w:rFonts w:ascii="Calibri" w:hAnsi="Calibri" w:cs="Calibri"/>
              <w:sz w:val="18"/>
              <w:szCs w:val="18"/>
              <w:color w:val="5AAA00"/>
            </w:rPr>
            <w:t xml:space="preserve"> Wonen</w:t>
          </w:r>
        </w:p>
      </w:tc>
      <w:tc>
        <w:tcPr>
          <w:tcW w:w="4513" w:type="dxa"/>
          <w:tcBorders>
            <w:top w:val="none" w:sz="0" w:space="0" w:color="FFFFFF"/>
            <w:left w:val="none" w:sz="0" w:space="0" w:color="FFFFFF"/>
            <w:bottom w:val="none" w:sz="0" w:space="0" w:color="FFFFFF"/>
            <w:right w:val="none" w:sz="0" w:space="0" w:color="FFFFFF"/>
          </w:tcBorders>
          <w:vAlign w:val="center"/>
        </w:tcPr>
        <w:p>
          <w:pPr>
            <w:spacing w:before="0" w:after="0"/>
            <w:jc w:val="right"/>
          </w:pPr>
          <w:r>
            <w:rPr>
              <w:rFonts w:ascii="Calibri" w:hAnsi="Calibri" w:cs="Calibri"/>
              <w:sz w:val="18"/>
              <w:szCs w:val="18"/>
              <w:color w:val="666666"/>
            </w:rPr>
            <w:t xml:space="preserve">Isolatie Quickscan</w:t>
          </w:r>
        </w:p>
      </w:tc>
    </w:tr>
  </w:tbl>
  <w:p>
    <w:pPr>
      <w:spacing w:before="60" w:after="6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3C5B"/>
    <w:multiLevelType w:val="hybridMultilevel"/>
    <w:tmpl w:val="756C1ED6"/>
    <w:lvl w:ilvl="0" w:tplc="61D82B52">
      <w:start w:val="1"/>
      <w:numFmt w:val="bullet"/>
      <w:lvlText w:val="–"/>
      <w:lvlJc w:val="left"/>
      <w:pPr>
        <w:ind w:left="480" w:hanging="240"/>
      </w:pPr>
    </w:lvl>
    <w:lvl w:ilvl="1" w:tplc="4E6049EA">
      <w:numFmt w:val="decimal"/>
      <w:lvlText w:val=""/>
      <w:lvlJc w:val="left"/>
    </w:lvl>
    <w:lvl w:ilvl="2" w:tplc="165662B8">
      <w:numFmt w:val="decimal"/>
      <w:lvlText w:val=""/>
      <w:lvlJc w:val="left"/>
    </w:lvl>
    <w:lvl w:ilvl="3" w:tplc="AE90443A">
      <w:numFmt w:val="decimal"/>
      <w:lvlText w:val=""/>
      <w:lvlJc w:val="left"/>
    </w:lvl>
    <w:lvl w:ilvl="4" w:tplc="CF3CAE08">
      <w:numFmt w:val="decimal"/>
      <w:lvlText w:val=""/>
      <w:lvlJc w:val="left"/>
    </w:lvl>
    <w:lvl w:ilvl="5" w:tplc="FD5AF62C">
      <w:numFmt w:val="decimal"/>
      <w:lvlText w:val=""/>
      <w:lvlJc w:val="left"/>
    </w:lvl>
    <w:lvl w:ilvl="6" w:tplc="9C1C8006">
      <w:numFmt w:val="decimal"/>
      <w:lvlText w:val=""/>
      <w:lvlJc w:val="left"/>
    </w:lvl>
    <w:lvl w:ilvl="7" w:tplc="CD8E6FAA">
      <w:numFmt w:val="decimal"/>
      <w:lvlText w:val=""/>
      <w:lvlJc w:val="left"/>
    </w:lvl>
    <w:lvl w:ilvl="8" w:tplc="35CA16FC">
      <w:numFmt w:val="decimal"/>
      <w:lvlText w:val=""/>
      <w:lvlJc w:val="left"/>
    </w:lvl>
  </w:abstractNum>
  <w:abstractNum w:abstractNumId="1" w15:restartNumberingAfterBreak="0">
    <w:nsid w:val="0A1E623C"/>
    <w:multiLevelType w:val="hybridMultilevel"/>
    <w:tmpl w:val="A930054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4FD55F3A"/>
    <w:multiLevelType w:val="hybridMultilevel"/>
    <w:tmpl w:val="1C36CA24"/>
    <w:lvl w:ilvl="0" w:tplc="6EBA780C">
      <w:start w:val="1"/>
      <w:numFmt w:val="bullet"/>
      <w:lvlText w:val="●"/>
      <w:lvlJc w:val="left"/>
      <w:pPr>
        <w:ind w:left="720" w:hanging="360"/>
      </w:pPr>
    </w:lvl>
    <w:lvl w:ilvl="1" w:tplc="E21AA82C">
      <w:start w:val="1"/>
      <w:numFmt w:val="bullet"/>
      <w:lvlText w:val="○"/>
      <w:lvlJc w:val="left"/>
      <w:pPr>
        <w:ind w:left="1440" w:hanging="360"/>
      </w:pPr>
    </w:lvl>
    <w:lvl w:ilvl="2" w:tplc="12188F48">
      <w:start w:val="1"/>
      <w:numFmt w:val="bullet"/>
      <w:lvlText w:val="■"/>
      <w:lvlJc w:val="left"/>
      <w:pPr>
        <w:ind w:left="2160" w:hanging="360"/>
      </w:pPr>
    </w:lvl>
    <w:lvl w:ilvl="3" w:tplc="2E26D76A">
      <w:start w:val="1"/>
      <w:numFmt w:val="bullet"/>
      <w:lvlText w:val="●"/>
      <w:lvlJc w:val="left"/>
      <w:pPr>
        <w:ind w:left="2880" w:hanging="360"/>
      </w:pPr>
    </w:lvl>
    <w:lvl w:ilvl="4" w:tplc="94C27FB8">
      <w:start w:val="1"/>
      <w:numFmt w:val="bullet"/>
      <w:lvlText w:val="○"/>
      <w:lvlJc w:val="left"/>
      <w:pPr>
        <w:ind w:left="3600" w:hanging="360"/>
      </w:pPr>
    </w:lvl>
    <w:lvl w:ilvl="5" w:tplc="13EE00AC">
      <w:start w:val="1"/>
      <w:numFmt w:val="bullet"/>
      <w:lvlText w:val="■"/>
      <w:lvlJc w:val="left"/>
      <w:pPr>
        <w:ind w:left="4320" w:hanging="360"/>
      </w:pPr>
    </w:lvl>
    <w:lvl w:ilvl="6" w:tplc="011E5D92">
      <w:start w:val="1"/>
      <w:numFmt w:val="bullet"/>
      <w:lvlText w:val="●"/>
      <w:lvlJc w:val="left"/>
      <w:pPr>
        <w:ind w:left="5040" w:hanging="360"/>
      </w:pPr>
    </w:lvl>
    <w:lvl w:ilvl="7" w:tplc="29D4167C">
      <w:start w:val="1"/>
      <w:numFmt w:val="bullet"/>
      <w:lvlText w:val="●"/>
      <w:lvlJc w:val="left"/>
      <w:pPr>
        <w:ind w:left="5760" w:hanging="360"/>
      </w:pPr>
    </w:lvl>
    <w:lvl w:ilvl="8" w:tplc="D72C3D28">
      <w:start w:val="1"/>
      <w:numFmt w:val="bullet"/>
      <w:lvlText w:val="●"/>
      <w:lvlJc w:val="left"/>
      <w:pPr>
        <w:ind w:left="6480" w:hanging="360"/>
      </w:pPr>
    </w:lvl>
  </w:abstractNum>
  <w:abstractNum w:abstractNumId="3" w15:restartNumberingAfterBreak="0">
    <w:nsid w:val="72964827"/>
    <w:multiLevelType w:val="multilevel"/>
    <w:tmpl w:val="7518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582796">
    <w:abstractNumId w:val="2"/>
    <w:lvlOverride w:ilvl="0">
      <w:startOverride w:val="1"/>
    </w:lvlOverride>
  </w:num>
  <w:num w:numId="2" w16cid:durableId="1070352447">
    <w:abstractNumId w:val="0"/>
    <w:lvlOverride w:ilvl="0">
      <w:startOverride w:val="1"/>
    </w:lvlOverride>
  </w:num>
  <w:num w:numId="3" w16cid:durableId="2021732530">
    <w:abstractNumId w:val="3"/>
  </w:num>
  <w:num w:numId="4" w16cid:durableId="1974408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10A"/>
    <w:rsid w:val="00014EA1"/>
    <w:rsid w:val="00040E3A"/>
    <w:rsid w:val="0005783D"/>
    <w:rsid w:val="00067D34"/>
    <w:rsid w:val="000D2ADD"/>
    <w:rsid w:val="000D3833"/>
    <w:rsid w:val="000F0C75"/>
    <w:rsid w:val="00191ED5"/>
    <w:rsid w:val="001A4658"/>
    <w:rsid w:val="001A4933"/>
    <w:rsid w:val="001B2DAD"/>
    <w:rsid w:val="001B3D68"/>
    <w:rsid w:val="001C4D44"/>
    <w:rsid w:val="001D0978"/>
    <w:rsid w:val="00200AE4"/>
    <w:rsid w:val="00203A55"/>
    <w:rsid w:val="002821A9"/>
    <w:rsid w:val="00332452"/>
    <w:rsid w:val="003358E5"/>
    <w:rsid w:val="0034353F"/>
    <w:rsid w:val="00365966"/>
    <w:rsid w:val="00366BF9"/>
    <w:rsid w:val="003813AC"/>
    <w:rsid w:val="003B162E"/>
    <w:rsid w:val="00417946"/>
    <w:rsid w:val="0042585B"/>
    <w:rsid w:val="0042600F"/>
    <w:rsid w:val="00426C20"/>
    <w:rsid w:val="00440953"/>
    <w:rsid w:val="00482D26"/>
    <w:rsid w:val="004D0878"/>
    <w:rsid w:val="004D256F"/>
    <w:rsid w:val="004F5903"/>
    <w:rsid w:val="004F7575"/>
    <w:rsid w:val="005067D6"/>
    <w:rsid w:val="00526555"/>
    <w:rsid w:val="005411F6"/>
    <w:rsid w:val="00574344"/>
    <w:rsid w:val="00576084"/>
    <w:rsid w:val="00590594"/>
    <w:rsid w:val="00596724"/>
    <w:rsid w:val="005A7760"/>
    <w:rsid w:val="005C625F"/>
    <w:rsid w:val="005D45C7"/>
    <w:rsid w:val="00610147"/>
    <w:rsid w:val="00624423"/>
    <w:rsid w:val="00632F02"/>
    <w:rsid w:val="0064326E"/>
    <w:rsid w:val="0068671D"/>
    <w:rsid w:val="006A7AD0"/>
    <w:rsid w:val="00716768"/>
    <w:rsid w:val="0072010A"/>
    <w:rsid w:val="00721FA8"/>
    <w:rsid w:val="007A64CB"/>
    <w:rsid w:val="007F1396"/>
    <w:rsid w:val="00813BD8"/>
    <w:rsid w:val="008152A4"/>
    <w:rsid w:val="00822510"/>
    <w:rsid w:val="00856B11"/>
    <w:rsid w:val="00861B3C"/>
    <w:rsid w:val="00864176"/>
    <w:rsid w:val="008855DA"/>
    <w:rsid w:val="0091286E"/>
    <w:rsid w:val="009212E5"/>
    <w:rsid w:val="00930DE9"/>
    <w:rsid w:val="009315C7"/>
    <w:rsid w:val="00A15BCA"/>
    <w:rsid w:val="00A26820"/>
    <w:rsid w:val="00AA34BD"/>
    <w:rsid w:val="00AB7D30"/>
    <w:rsid w:val="00AF5A6E"/>
    <w:rsid w:val="00B17FA0"/>
    <w:rsid w:val="00B26CD3"/>
    <w:rsid w:val="00B346C3"/>
    <w:rsid w:val="00B50E04"/>
    <w:rsid w:val="00B67B2B"/>
    <w:rsid w:val="00BA589C"/>
    <w:rsid w:val="00C94E1F"/>
    <w:rsid w:val="00CE7620"/>
    <w:rsid w:val="00D31BA8"/>
    <w:rsid w:val="00D34072"/>
    <w:rsid w:val="00D426C3"/>
    <w:rsid w:val="00DA7596"/>
    <w:rsid w:val="00DC422D"/>
    <w:rsid w:val="00DD12FD"/>
    <w:rsid w:val="00DE10E6"/>
    <w:rsid w:val="00DE3465"/>
    <w:rsid w:val="00E2056A"/>
    <w:rsid w:val="00E21A44"/>
    <w:rsid w:val="00E33736"/>
    <w:rsid w:val="00E71661"/>
    <w:rsid w:val="00E944A5"/>
    <w:rsid w:val="00EA4F32"/>
    <w:rsid w:val="00F4351A"/>
    <w:rsid w:val="00FA7628"/>
    <w:rsid w:val="00FC6514"/>
    <w:rsid w:val="00FC792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ED45E"/>
  <w15:docId w15:val="{4A27CECB-FC2C-4DAF-901A-01D02418B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link w:val="Kop1Char"/>
    <w:uiPriority w:val="9"/>
    <w:qFormat/>
    <w:pPr>
      <w:spacing w:before="280" w:after="140"/>
      <w:outlineLvl w:val="0"/>
    </w:pPr>
    <w:rPr>
      <w:b/>
      <w:bCs/>
      <w:color w:val="0B1F3A"/>
      <w:sz w:val="28"/>
      <w:szCs w:val="28"/>
    </w:rPr>
  </w:style>
  <w:style w:type="paragraph" w:styleId="Kop2">
    <w:name w:val="heading 2"/>
    <w:uiPriority w:val="9"/>
    <w:semiHidden/>
    <w:unhideWhenUsed/>
    <w:qFormat/>
    <w:pPr>
      <w:spacing w:before="160" w:after="80"/>
      <w:outlineLvl w:val="1"/>
    </w:pPr>
    <w:rPr>
      <w:b/>
      <w:bCs/>
      <w:color w:val="2E6BE6"/>
    </w:rPr>
  </w:style>
  <w:style w:type="paragraph" w:styleId="Kop3">
    <w:name w:val="heading 3"/>
    <w:uiPriority w:val="9"/>
    <w:semiHidden/>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rPr>
      <w:sz w:val="20"/>
      <w:szCs w:val="20"/>
    </w:rPr>
  </w:style>
  <w:style w:type="character" w:customStyle="1" w:styleId="VoetnoottekstChar">
    <w:name w:val="Voetnoottekst Char"/>
    <w:link w:val="Voetnoottekst"/>
    <w:uiPriority w:val="99"/>
    <w:semiHidden/>
    <w:unhideWhenUsed/>
    <w:rPr>
      <w:sz w:val="20"/>
      <w:szCs w:val="20"/>
    </w:rPr>
  </w:style>
  <w:style w:type="paragraph" w:styleId="Koptekst">
    <w:name w:val="header"/>
    <w:basedOn w:val="Standaard"/>
    <w:link w:val="KoptekstChar"/>
    <w:uiPriority w:val="99"/>
    <w:unhideWhenUsed/>
    <w:rsid w:val="00D34072"/>
    <w:pPr>
      <w:tabs>
        <w:tab w:val="center" w:pos="4536"/>
        <w:tab w:val="right" w:pos="9072"/>
      </w:tabs>
    </w:pPr>
  </w:style>
  <w:style w:type="character" w:customStyle="1" w:styleId="KoptekstChar">
    <w:name w:val="Koptekst Char"/>
    <w:basedOn w:val="Standaardalinea-lettertype"/>
    <w:link w:val="Koptekst"/>
    <w:uiPriority w:val="99"/>
    <w:rsid w:val="00D34072"/>
  </w:style>
  <w:style w:type="paragraph" w:styleId="Voettekst">
    <w:name w:val="footer"/>
    <w:basedOn w:val="Standaard"/>
    <w:link w:val="VoettekstChar"/>
    <w:uiPriority w:val="99"/>
    <w:unhideWhenUsed/>
    <w:rsid w:val="00D34072"/>
    <w:pPr>
      <w:tabs>
        <w:tab w:val="center" w:pos="4536"/>
        <w:tab w:val="right" w:pos="9072"/>
      </w:tabs>
    </w:pPr>
  </w:style>
  <w:style w:type="character" w:customStyle="1" w:styleId="VoettekstChar">
    <w:name w:val="Voettekst Char"/>
    <w:basedOn w:val="Standaardalinea-lettertype"/>
    <w:link w:val="Voettekst"/>
    <w:uiPriority w:val="99"/>
    <w:rsid w:val="00D34072"/>
  </w:style>
  <w:style w:type="character" w:customStyle="1" w:styleId="Kop1Char">
    <w:name w:val="Kop 1 Char"/>
    <w:basedOn w:val="Standaardalinea-lettertype"/>
    <w:link w:val="Kop1"/>
    <w:uiPriority w:val="9"/>
    <w:rsid w:val="00B346C3"/>
    <w:rPr>
      <w:b/>
      <w:bCs/>
      <w:color w:val="0B1F3A"/>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513</Words>
  <Characters>3501</Characters>
  <Application>Microsoft Office Word</Application>
  <DocSecurity>0</DocSecurity>
  <Lines>152</Lines>
  <Paragraphs>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Staal</cp:lastModifiedBy>
  <cp:revision>71</cp:revision>
  <dcterms:created xsi:type="dcterms:W3CDTF">2026-03-19T12:48:00Z</dcterms:created>
  <dcterms:modified xsi:type="dcterms:W3CDTF">2026-04-30T12:33:00Z</dcterms:modified>
</cp:coreProperties>
</file>