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left w:val="none"/>
          <w:bottom w:val="none"/>
          <w:right w:val="none"/>
          <w:insideH w:val="none"/>
          <w:insideV w:val="none"/>
        </w:tblBorders>
      </w:tblPr>
      <w:tblGrid>
        <w:gridCol w:w="9026"/>
      </w:tblGrid>
      <w:tr>
        <w:trPr>
          <w:trHeight w:val="1600" w:hRule="atLeast"/>
        </w:trPr>
        <w:tc>
          <w:tcPr>
            <w:tcW w:w="5000" w:type="pct"/>
            <w:shd w:val="clear" w:color="auto" w:fill="1A1A1A"/>
            <w:tcMar>
              <w:top w:w="240" w:type="dxa"/>
              <w:left w:w="360" w:type="dxa"/>
              <w:bottom w:w="240" w:type="dxa"/>
              <w:right w:w="360" w:type="dxa"/>
            </w:tcMar>
          </w:tcPr>
          <w:p>
            <w:pPr>
              <w:spacing w:before="0" w:after="80"/>
              <w:shd w:val="clear" w:color="auto" w:fill="1A1A1A"/>
            </w:pPr>
            <w:r>
              <w:rPr>
                <w:b/>
                <w:rFonts w:ascii="Calibri" w:hAnsi="Calibri" w:cs="Calibri"/>
                <w:sz w:val="60"/>
                <w:szCs w:val="60"/>
                <w:color w:val="FFFFFF"/>
              </w:rPr>
              <w:t xml:space="preserve">Pand</w:t>
            </w:r>
            <w:r>
              <w:rPr>
                <w:b/>
                <w:rFonts w:ascii="Calibri" w:hAnsi="Calibri" w:cs="Calibri"/>
                <w:sz w:val="60"/>
                <w:szCs w:val="60"/>
                <w:color w:val="5AAA00"/>
              </w:rPr>
              <w:t xml:space="preserve">IQ</w:t>
            </w:r>
          </w:p>
          <w:p>
            <w:pPr>
              <w:spacing w:before="0" w:after="0"/>
              <w:shd w:val="clear" w:color="auto" w:fill="1A1A1A"/>
            </w:pPr>
            <w:r>
              <w:rPr>
                <w:b/>
                <w:rFonts w:ascii="Calibri" w:hAnsi="Calibri" w:cs="Calibri"/>
                <w:sz w:val="18"/>
                <w:szCs w:val="18"/>
                <w:color w:val="5AAA00"/>
                <w:spacing w:val="40"/>
              </w:rPr>
              <w:t xml:space="preserve">WONEN</w:t>
            </w:r>
          </w:p>
        </w:tc>
      </w:tr>
    </w:tbl>
    <w:tbl>
      <w:tblPr>
        <w:tblW w:w="5000" w:type="pct"/>
        <w:tblBorders>
          <w:top w:val="none"/>
          <w:left w:val="none"/>
          <w:bottom w:val="none"/>
          <w:right w:val="none"/>
          <w:insideH w:val="none"/>
          <w:insideV w:val="none"/>
        </w:tblBorders>
      </w:tblPr>
      <w:tblGrid>
        <w:gridCol w:w="9026"/>
      </w:tblGrid>
      <w:tr>
        <w:trPr>
          <w:trHeight w:val="100" w:hRule="atLeast"/>
        </w:trPr>
        <w:tc>
          <w:tcPr>
            <w:tcW w:w="5000" w:type="pct"/>
            <w:shd w:val="clear" w:color="auto" w:fill="D4E832"/>
            <w:tcMar>
              <w:top w:w="240" w:type="dxa"/>
              <w:left w:w="360" w:type="dxa"/>
              <w:bottom w:w="240" w:type="dxa"/>
              <w:right w:w="360" w:type="dxa"/>
            </w:tcMar>
          </w:tcPr>
          <w:p>
            <w:pPr>
              <w:spacing w:before="0" w:after="0"/>
              <w:shd w:val="clear" w:color="auto" w:fill="D4E832"/>
            </w:pPr>
          </w:p>
        </w:tc>
      </w:tr>
    </w:tbl>
    <w:p>
      <w:pPr>
        <w:spacing w:before="600" w:after="0"/>
      </w:pPr>
    </w:p>
    <w:p>
      <w:pPr>
        <w:spacing w:before="0" w:after="120"/>
      </w:pPr>
      <w:r>
        <w:rPr>
          <w:b/>
          <w:rFonts w:ascii="Calibri" w:hAnsi="Calibri" w:cs="Calibri"/>
          <w:sz w:val="64"/>
          <w:szCs w:val="64"/>
          <w:color w:val="1A1A1A"/>
        </w:rPr>
        <w:t xml:space="preserve">Isolatie Quickscan</w:t>
      </w:r>
    </w:p>
    <w:p>
      <w:pPr>
        <w:spacing w:before="0" w:after="0"/>
      </w:pPr>
      <w:r>
        <w:rPr>
          <w:rFonts w:ascii="Calibri" w:hAnsi="Calibri" w:cs="Calibri"/>
          <w:sz w:val="26"/>
          <w:szCs w:val="26"/>
          <w:color w:val="666666"/>
        </w:rPr>
        <w:t xml:space="preserve">Energierapport verduurzaming</w:t>
      </w:r>
    </w:p>
    <w:p>
      <w:pPr>
        <w:spacing w:before="640" w:after="0"/>
      </w:pPr>
    </w:p>
    <w:p>
      <w:pPr>
        <w:spacing w:before="0" w:after="80"/>
      </w:pPr>
      <w:r>
        <w:rPr>
          <w:b/>
          <w:rFonts w:ascii="Calibri" w:hAnsi="Calibri" w:cs="Calibri"/>
          <w:sz w:val="28"/>
          <w:szCs w:val="28"/>
          <w:color w:val="1A1A1A"/>
        </w:rPr>
        <w:t xml:space="preserve">Joeswerd 109, 9746CR Groningen</w:t>
      </w:r>
    </w:p>
    <w:p>
      <w:pPr>
        <w:spacing w:before="0" w:after="0"/>
      </w:pPr>
      <w:r>
        <w:rPr>
          <w:rFonts w:ascii="Calibri" w:hAnsi="Calibri" w:cs="Calibri"/>
          <w:sz w:val="22"/>
          <w:szCs w:val="22"/>
          <w:color w:val="666666"/>
        </w:rPr>
        <w:t xml:space="preserve">30 april 2026</w:t>
      </w:r>
    </w:p>
    <w:p>
      <w:pPr>
        <w:spacing w:before="800" w:after="0"/>
      </w:pPr>
    </w:p>
    <w:p>
      <w:pPr>
        <w:spacing w:before="0" w:after="0"/>
      </w:pPr>
      <w:r>
        <w:rPr>
          <w:rFonts w:ascii="Calibri" w:hAnsi="Calibri" w:cs="Calibri"/>
          <w:sz w:val="18"/>
          <w:szCs w:val="18"/>
          <w:color w:val="999999"/>
        </w:rPr>
        <w:t xml:space="preserve">Indicatief rapport op basis van openbare registraties (BAG &amp; EP-Online)</w:t>
      </w:r>
    </w:p>
    <w:p>
      <w:pPr>
        <w:spacing w:before="0" w:after="0"/>
      </w:pPr>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 xml:space="preserve">Let op: voor uw woning is geen actueel energielabel gevonden in EP-Online. De onderstaande scores zijn indicatief op basis van bouwjaar 2006 en vergelijkbare woningen uit dezelfde periode. Uw woning uit 2006 heeft een sterke gebouwschil. Via de ISDE is mogelijk een startbedrag van €1,025 plus €225 per kW vermogen beschikbaar voor een warmtepomp. Ontdek of uw woning klaar is voor gasloos wonen via www.pandiq.nl.</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Joeswerd 109, 9746CR Groningen. De woning is gebouwd in 2006.</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woning:Er zijn geen EP-Online kengetallen beschikbaar voor deze woning. De energieprestatie kan daardoor niet automatisch worden geduid. Een maatwerkadvies geeft hier meer inzicht.</w:t>
      </w:r>
      <w:r w:rsidRPr="001D0978">
        <w:rPr>
          <w:b/>
          <w:bCs/>
          <w:color w:val="1A2340"/>
        </w:rPr>
        <w:t/>
      </w:r>
      <w:r>
        <w:rPr>
          <w:b/>
          <w:bCs/>
          <w:color w:val="1A2340"/>
        </w:rPr>
        <w:t/>
      </w:r>
      <w:r w:rsidR="00482D26">
        <w:rPr>
          <w:color w:val="1A2340"/>
        </w:rPr>
        <w:br/>
      </w:r>
      <w:r w:rsidR="00482D26">
        <w:rPr>
          <w:color w:val="1A2340"/>
        </w:rPr>
        <w:br/>
      </w:r>
      <w:r w:rsidR="00B346C3">
        <w:rPr>
          <w:color w:val="1A2340"/>
        </w:rPr>
        <w:t/>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013E5372" w14:textId="77777777" w:rsidR="00F4351A" w:rsidRPr="00F4351A" w:rsidRDefault="00F4351A" w:rsidP="00F4351A">
      <w:pPr>
        <w:spacing w:before="60" w:after="160"/>
        <w:rPr>
          <w:color w:val="1A2340"/>
        </w:rPr>
      </w:pPr>
      <w:r w:rsidRPr="00F4351A">
        <w:rPr>
          <w:color w:val="1A2340"/>
        </w:rPr>
        <w:t>Financiële indicaties zijn schattingen op basis van bouwjaar en gemiddelde woningkenmerken. Definitieve bedragen hangen af van de werkelijke situatie ter plaatse.</w:t>
      </w:r>
    </w:p>
    <w:p>
      <w:pPr>
        <w:pStyle w:val="Normal"/>
        <w:spacing w:before="0" w:after="200"/>
      </w:pPr>
    </w:p>
    <w:p>
      <w:pPr>
        <w:pStyle w:val="Normal"/>
        <w:spacing w:before="0" w:after="200"/>
      </w:pPr>
      <w:r>
        <w:rPr>
          <w:i/>
          <w:rFonts w:ascii="Calibri" w:hAnsi="Calibri" w:cs="Calibri"/>
          <w:sz w:val="20"/>
          <w:szCs w:val="20"/>
          <w:color w:val="666666"/>
        </w:rPr>
        <w:t xml:space="preserve">Berekend op basis van woningtype, bouwjaar en isolatiewaarden per bouwperiode (ISSO 82.1, NEN 1068). Alle bedragen zijn indicatief.</w:t>
      </w:r>
    </w:p>
    <w:p>
      <w:pPr>
        <w:pStyle w:val="Normal"/>
        <w:spacing w:before="0" w:after="60"/>
      </w:pPr>
      <w:r>
        <w:rPr>
          <w:b/>
          <w:rFonts w:ascii="Calibri" w:hAnsi="Calibri" w:cs="Calibri"/>
          <w:sz w:val="22"/>
          <w:szCs w:val="22"/>
          <w:color w:val="5AAA00"/>
        </w:rPr>
        <w:t xml:space="preserve">Dak</w:t>
      </w:r>
    </w:p>
    <w:p>
      <w:pPr>
        <w:pStyle w:val="Normal"/>
        <w:spacing w:before="0" w:after="40"/>
      </w:pPr>
      <w:r>
        <w:rPr>
          <w:i/>
          <w:rFonts w:ascii="Calibri" w:hAnsi="Calibri" w:cs="Calibri"/>
          <w:sz w:val="20"/>
          <w:szCs w:val="20"/>
          <w:color w:val="888888"/>
        </w:rPr>
        <w:t xml:space="preserve">Hellend dak, footprint 50 m² × factor 1.25</w:t>
      </w:r>
    </w:p>
    <w:p>
      <w:pPr>
        <w:pStyle w:val="Normal"/>
        <w:spacing w:before="0" w:after="20"/>
      </w:pPr>
      <w:r>
        <w:rPr>
          <w:rFonts w:ascii="Calibri" w:hAnsi="Calibri" w:cs="Calibri"/>
          <w:sz w:val="20"/>
          <w:szCs w:val="20"/>
          <w:color w:val="555555"/>
        </w:rPr>
        <w:t xml:space="preserve">Huidige Rc: 2.5 m²K/W  —  Bouwbesluit 1992+, Rc ≥ 2.5 m²K/W</w:t>
      </w:r>
    </w:p>
    <w:p>
      <w:pPr>
        <w:pStyle w:val="Normal"/>
        <w:spacing w:before="0" w:after="60"/>
      </w:pPr>
      <w:r>
        <w:rPr>
          <w:rFonts w:ascii="Calibri" w:hAnsi="Calibri" w:cs="Calibri"/>
          <w:sz w:val="20"/>
          <w:szCs w:val="20"/>
          <w:color w:val="555555"/>
        </w:rPr>
        <w:t xml:space="preserve">Streefwaarde Rc: 3.5 m²K/W (ISDE-minimumeis)</w:t>
      </w:r>
    </w:p>
    <w:p>
      <w:pPr>
        <w:pStyle w:val="Normal"/>
        <w:spacing w:before="0" w:after="60"/>
      </w:pPr>
      <w:r>
        <w:rPr>
          <w:rFonts w:ascii="Calibri" w:hAnsi="Calibri" w:cs="Calibri"/>
          <w:sz w:val="20"/>
          <w:szCs w:val="20"/>
          <w:color w:val="1D1D1B"/>
        </w:rPr>
        <w:t xml:space="preserve">Besparing:    393 kWh/jr  |  52 m³ gas/jr  |  €75 per jaar</w:t>
      </w:r>
    </w:p>
    <w:p>
      <w:pPr>
        <w:pStyle w:val="Normal"/>
        <w:spacing w:before="0" w:after="60"/>
      </w:pPr>
      <w:r>
        <w:rPr>
          <w:rFonts w:ascii="Calibri" w:hAnsi="Calibri" w:cs="Calibri"/>
          <w:sz w:val="20"/>
          <w:szCs w:val="20"/>
          <w:color w:val="1D1D1B"/>
        </w:rPr>
        <w:t xml:space="preserve">Investering:  €6,250–€9,375  |  ISDE-subsidie: tot €1,016  |  Netto: €6,796</w:t>
      </w:r>
    </w:p>
    <w:p>
      <w:pPr>
        <w:pStyle w:val="Normal"/>
        <w:spacing w:before="0" w:after="60"/>
      </w:pPr>
      <w:r>
        <w:rPr>
          <w:rFonts w:ascii="Calibri" w:hAnsi="Calibri" w:cs="Calibri"/>
          <w:sz w:val="20"/>
          <w:szCs w:val="20"/>
          <w:color w:val="1D1D1B"/>
        </w:rPr>
        <w:t xml:space="preserve">Terugverdientijd: 44.5 jaar  |  Na 10 jr: €858  |  Na 20 jr: €2,010 cumulatief bespaard</w:t>
      </w:r>
    </w:p>
    <w:p>
      <w:pPr>
        <w:pStyle w:val="Normal"/>
        <w:spacing w:before="0" w:after="60"/>
      </w:pPr>
      <w:r>
        <w:rPr>
          <w:i/>
          <w:rFonts w:ascii="Calibri" w:hAnsi="Calibri" w:cs="Calibri"/>
          <w:sz w:val="18"/>
          <w:szCs w:val="18"/>
          <w:color w:val="888888"/>
        </w:rPr>
        <w:t xml:space="preserve">Enkel interessant in combinatie met groot onderhoud of verbouw.</w:t>
      </w:r>
    </w:p>
    <w:p>
      <w:pPr>
        <w:pStyle w:val="Normal"/>
        <w:spacing w:before="0" w:after="160"/>
      </w:pPr>
    </w:p>
    <w:p>
      <w:pPr>
        <w:pStyle w:val="Normal"/>
        <w:spacing w:before="0" w:after="60"/>
      </w:pPr>
      <w:r>
        <w:rPr>
          <w:b/>
          <w:rFonts w:ascii="Calibri" w:hAnsi="Calibri" w:cs="Calibri"/>
          <w:sz w:val="22"/>
          <w:szCs w:val="22"/>
          <w:color w:val="5AAA00"/>
        </w:rPr>
        <w:t xml:space="preserve">Vloer</w:t>
      </w:r>
    </w:p>
    <w:p>
      <w:pPr>
        <w:pStyle w:val="Normal"/>
        <w:spacing w:before="0" w:after="40"/>
      </w:pPr>
      <w:r>
        <w:rPr>
          <w:i/>
          <w:rFonts w:ascii="Calibri" w:hAnsi="Calibri" w:cs="Calibri"/>
          <w:sz w:val="20"/>
          <w:szCs w:val="20"/>
          <w:color w:val="888888"/>
        </w:rPr>
        <w:t xml:space="preserve">Vloer = footprint 50 m²</w:t>
      </w:r>
    </w:p>
    <w:p>
      <w:pPr>
        <w:pStyle w:val="Normal"/>
        <w:spacing w:before="0" w:after="20"/>
      </w:pPr>
      <w:r>
        <w:rPr>
          <w:rFonts w:ascii="Calibri" w:hAnsi="Calibri" w:cs="Calibri"/>
          <w:sz w:val="20"/>
          <w:szCs w:val="20"/>
          <w:color w:val="555555"/>
        </w:rPr>
        <w:t xml:space="preserve">Huidige Rc: 2.5 m²K/W  —  Bouwbesluit 1992+, Rc ≥ 2.5 m²K/W</w:t>
      </w:r>
    </w:p>
    <w:p>
      <w:pPr>
        <w:pStyle w:val="Normal"/>
        <w:spacing w:before="0" w:after="60"/>
      </w:pPr>
      <w:r>
        <w:rPr>
          <w:rFonts w:ascii="Calibri" w:hAnsi="Calibri" w:cs="Calibri"/>
          <w:sz w:val="20"/>
          <w:szCs w:val="20"/>
          <w:color w:val="555555"/>
        </w:rPr>
        <w:t xml:space="preserve">Streefwaarde Rc: 3.5 m²K/W (ISDE-minimumeis)</w:t>
      </w:r>
    </w:p>
    <w:p>
      <w:pPr>
        <w:pStyle w:val="Normal"/>
        <w:spacing w:before="0" w:after="60"/>
      </w:pPr>
      <w:r>
        <w:rPr>
          <w:rFonts w:ascii="Calibri" w:hAnsi="Calibri" w:cs="Calibri"/>
          <w:sz w:val="20"/>
          <w:szCs w:val="20"/>
          <w:color w:val="1D1D1B"/>
        </w:rPr>
        <w:t xml:space="preserve">Besparing:    314 kWh/jr  |  41 m³ gas/jr  |  €60 per jaar</w:t>
      </w:r>
    </w:p>
    <w:p>
      <w:pPr>
        <w:pStyle w:val="Normal"/>
        <w:spacing w:before="0" w:after="60"/>
      </w:pPr>
      <w:r>
        <w:rPr>
          <w:rFonts w:ascii="Calibri" w:hAnsi="Calibri" w:cs="Calibri"/>
          <w:sz w:val="20"/>
          <w:szCs w:val="20"/>
          <w:color w:val="1D1D1B"/>
        </w:rPr>
        <w:t xml:space="preserve">Investering:  €1,100–€1,500  |  ISDE-subsidie: tot €275  |  Netto: €1,025</w:t>
      </w:r>
    </w:p>
    <w:p>
      <w:pPr>
        <w:pStyle w:val="Normal"/>
        <w:spacing w:before="0" w:after="60"/>
      </w:pPr>
      <w:r>
        <w:rPr>
          <w:rFonts w:ascii="Calibri" w:hAnsi="Calibri" w:cs="Calibri"/>
          <w:sz w:val="20"/>
          <w:szCs w:val="20"/>
          <w:color w:val="1D1D1B"/>
        </w:rPr>
        <w:t xml:space="preserve">Terugverdientijd: 14.0 jaar  |  Na 10 jr: €685  |  Na 20 jr: €1,605 cumulatief bespaard</w:t>
      </w:r>
    </w:p>
    <w:p>
      <w:pPr>
        <w:pStyle w:val="Normal"/>
        <w:spacing w:before="0" w:after="160"/>
      </w:pPr>
    </w:p>
    <w:p>
      <w:pPr>
        <w:pStyle w:val="Normal"/>
        <w:spacing w:before="0" w:after="60"/>
      </w:pPr>
      <w:r>
        <w:rPr>
          <w:b/>
          <w:rFonts w:ascii="Calibri" w:hAnsi="Calibri" w:cs="Calibri"/>
          <w:sz w:val="22"/>
          <w:szCs w:val="22"/>
          <w:color w:val="5AAA00"/>
        </w:rPr>
        <w:t xml:space="preserve">Spouwmuurisolatie</w:t>
      </w:r>
    </w:p>
    <w:p>
      <w:pPr>
        <w:pStyle w:val="Normal"/>
        <w:spacing w:before="0" w:after="60"/>
      </w:pPr>
      <w:r>
        <w:rPr>
          <w:rFonts w:ascii="Calibri" w:hAnsi="Calibri" w:cs="Calibri"/>
          <w:sz w:val="20"/>
          <w:szCs w:val="20"/>
          <w:color w:val="2E7D32"/>
        </w:rPr>
        <w:t xml:space="preserve">Je Rc-waarde is 1.3 m²K/W en voldoet aan de ISDE-eis en komt hierom niet in aanmerking voor subsidie.</w:t>
      </w:r>
    </w:p>
    <w:p>
      <w:pPr>
        <w:pStyle w:val="Normal"/>
        <w:spacing w:before="0" w:after="160"/>
      </w:pPr>
    </w:p>
    <w:p>
      <w:pPr>
        <w:pStyle w:val="Normal"/>
        <w:spacing w:before="0" w:after="60"/>
      </w:pPr>
      <w:r>
        <w:rPr>
          <w:b/>
          <w:rFonts w:ascii="Calibri" w:hAnsi="Calibri" w:cs="Calibri"/>
          <w:sz w:val="22"/>
          <w:szCs w:val="22"/>
          <w:color w:val="5AAA00"/>
        </w:rPr>
        <w:t xml:space="preserve">Gevelisolatie (buiten/binnen)</w:t>
      </w:r>
    </w:p>
    <w:p>
      <w:pPr>
        <w:pStyle w:val="Normal"/>
        <w:spacing w:before="0" w:after="40"/>
      </w:pPr>
      <w:r>
        <w:rPr>
          <w:i/>
          <w:rFonts w:ascii="Calibri" w:hAnsi="Calibri" w:cs="Calibri"/>
          <w:sz w:val="20"/>
          <w:szCs w:val="20"/>
          <w:color w:val="888888"/>
        </w:rPr>
        <w:t xml:space="preserve">Netto gevel (excl. glas), tussenwoning; bruto 65 m² − glas 15 m²</w:t>
      </w:r>
    </w:p>
    <w:p>
      <w:pPr>
        <w:pStyle w:val="Normal"/>
        <w:spacing w:before="0" w:after="20"/>
      </w:pPr>
      <w:r>
        <w:rPr>
          <w:rFonts w:ascii="Calibri" w:hAnsi="Calibri" w:cs="Calibri"/>
          <w:sz w:val="20"/>
          <w:szCs w:val="20"/>
          <w:color w:val="555555"/>
        </w:rPr>
        <w:t xml:space="preserve">Huidige Rc: 2.5 m²K/W  —  Bouwbesluit 1992+, spouw gevuld, Rc ≥ 2.5 m²K/W</w:t>
      </w:r>
    </w:p>
    <w:p>
      <w:pPr>
        <w:pStyle w:val="Normal"/>
        <w:spacing w:before="0" w:after="60"/>
      </w:pPr>
      <w:r>
        <w:rPr>
          <w:rFonts w:ascii="Calibri" w:hAnsi="Calibri" w:cs="Calibri"/>
          <w:sz w:val="20"/>
          <w:szCs w:val="20"/>
          <w:color w:val="555555"/>
        </w:rPr>
        <w:t xml:space="preserve">Streefwaarde Rc: 3.5 m²K/W (ISDE-minimumeis)</w:t>
      </w:r>
    </w:p>
    <w:p>
      <w:pPr>
        <w:pStyle w:val="Normal"/>
        <w:spacing w:before="0" w:after="60"/>
      </w:pPr>
      <w:r>
        <w:rPr>
          <w:rFonts w:ascii="Calibri" w:hAnsi="Calibri" w:cs="Calibri"/>
          <w:sz w:val="20"/>
          <w:szCs w:val="20"/>
          <w:color w:val="1D1D1B"/>
        </w:rPr>
        <w:t xml:space="preserve">Besparing:    316 kWh/jr  |  41 m³ gas/jr  |  €60 per jaar</w:t>
      </w:r>
    </w:p>
    <w:p>
      <w:pPr>
        <w:pStyle w:val="Normal"/>
        <w:spacing w:before="0" w:after="60"/>
      </w:pPr>
      <w:r>
        <w:rPr>
          <w:rFonts w:ascii="Calibri" w:hAnsi="Calibri" w:cs="Calibri"/>
          <w:sz w:val="20"/>
          <w:szCs w:val="20"/>
          <w:color w:val="1D1D1B"/>
        </w:rPr>
        <w:t xml:space="preserve">Investering:  €8,785–€11,546  |  ISDE-subsidie: tot €1,017  |  Netto: €9,148</w:t>
      </w:r>
    </w:p>
    <w:p>
      <w:pPr>
        <w:pStyle w:val="Normal"/>
        <w:spacing w:before="0" w:after="160"/>
      </w:pPr>
    </w:p>
    <w:p>
      <w:pPr>
        <w:pStyle w:val="Normal"/>
        <w:spacing w:before="0" w:after="60"/>
      </w:pPr>
      <w:r>
        <w:rPr>
          <w:b/>
          <w:rFonts w:ascii="Calibri" w:hAnsi="Calibri" w:cs="Calibri"/>
          <w:sz w:val="22"/>
          <w:szCs w:val="22"/>
          <w:color w:val="5AAA00"/>
        </w:rPr>
        <w:t xml:space="preserve">Glas</w:t>
      </w:r>
    </w:p>
    <w:p>
      <w:pPr>
        <w:pStyle w:val="Normal"/>
        <w:spacing w:before="0" w:after="200"/>
      </w:pPr>
      <w:r>
        <w:rPr>
          <w:i/>
          <w:rFonts w:ascii="Calibri" w:hAnsi="Calibri" w:cs="Calibri"/>
          <w:sz w:val="20"/>
          <w:szCs w:val="20"/>
          <w:color w:val="888888"/>
        </w:rPr>
        <w:t xml:space="preserve">Glasoppervlak o.b.v. hoeveelheden glas per gevelzijde, tussenwoning</w:t>
      </w:r>
    </w:p>
    <w:p>
      <w:pPr>
        <w:pStyle w:val="Normal"/>
        <w:spacing w:before="0" w:after="120"/>
      </w:pPr>
    </w:p>
    <w:p>
      <w:pPr>
        <w:pStyle w:val="Normal"/>
        <w:spacing w:before="0" w:after="100"/>
      </w:pPr>
      <w:r>
        <w:rPr>
          <w:b/>
          <w:rFonts w:ascii="Calibri" w:hAnsi="Calibri" w:cs="Calibri"/>
          <w:sz w:val="24"/>
          <w:szCs w:val="24"/>
          <w:color w:val="1D1D1B"/>
        </w:rPr>
        <w:t xml:space="preserve">Totaaloverzicht bij uitvoering van alle maatregelen</w:t>
      </w:r>
    </w:p>
    <w:p>
      <w:pPr>
        <w:pStyle w:val="Normal"/>
        <w:spacing w:before="0" w:after="120"/>
      </w:pPr>
      <w:r>
        <w:rPr>
          <w:rFonts w:ascii="Calibri" w:hAnsi="Calibri" w:cs="Calibri"/>
          <w:sz w:val="20"/>
          <w:szCs w:val="20"/>
          <w:color w:val="1D1D1B"/>
        </w:rPr>
        <w:t xml:space="preserve">Wanneer u meerdere isolatiemaatregelen combineert — of een isolatiemaatregel koppelt aan een warmtepomp — verdubbelt de ISDE-subsidie automatisch. Uw subsidie komt dan niet uit op €2,308 maar op €4,616.</w:t>
      </w:r>
    </w:p>
    <w:p>
      <w:pPr>
        <w:pStyle w:val="Normal"/>
        <w:spacing w:before="0" w:after="40"/>
      </w:pPr>
      <w:r>
        <w:rPr>
          <w:rFonts w:ascii="Calibri" w:hAnsi="Calibri" w:cs="Calibri"/>
          <w:sz w:val="20"/>
          <w:szCs w:val="20"/>
          <w:color w:val="1D1D1B"/>
        </w:rPr>
        <w:t xml:space="preserve">Totale investering:  €16,135 – €22,421</w:t>
      </w:r>
    </w:p>
    <w:p>
      <w:pPr>
        <w:pStyle w:val="Normal"/>
        <w:spacing w:before="0" w:after="40"/>
      </w:pPr>
      <w:r>
        <w:rPr>
          <w:rFonts w:ascii="Calibri" w:hAnsi="Calibri" w:cs="Calibri"/>
          <w:sz w:val="20"/>
          <w:szCs w:val="20"/>
          <w:color w:val="1D1D1B"/>
        </w:rPr>
        <w:t xml:space="preserve">Subsidie (enkelvoudig tarief):  €2,308</w:t>
      </w:r>
    </w:p>
    <w:p>
      <w:pPr>
        <w:pStyle w:val="Normal"/>
        <w:spacing w:before="0" w:after="40"/>
      </w:pPr>
      <w:r>
        <w:rPr>
          <w:b/>
          <w:rFonts w:ascii="Calibri" w:hAnsi="Calibri" w:cs="Calibri"/>
          <w:sz w:val="20"/>
          <w:szCs w:val="20"/>
          <w:color w:val="2E5C00"/>
        </w:rPr>
        <w:t xml:space="preserve">Subsidie (meervoudig, combinatie):  €4,616</w:t>
      </w:r>
    </w:p>
    <w:p>
      <w:pPr>
        <w:pStyle w:val="Normal"/>
        <w:spacing w:before="0" w:after="40"/>
      </w:pPr>
      <w:r>
        <w:rPr>
          <w:rFonts w:ascii="Calibri" w:hAnsi="Calibri" w:cs="Calibri"/>
          <w:sz w:val="20"/>
          <w:szCs w:val="20"/>
          <w:color w:val="1D1D1B"/>
        </w:rPr>
        <w:t xml:space="preserve">Netto investering (enkelvoudig):  €16,970</w:t>
      </w:r>
    </w:p>
    <w:p>
      <w:pPr>
        <w:pStyle w:val="Normal"/>
        <w:spacing w:before="0" w:after="40"/>
      </w:pPr>
      <w:r>
        <w:rPr>
          <w:b/>
          <w:rFonts w:ascii="Calibri" w:hAnsi="Calibri" w:cs="Calibri"/>
          <w:sz w:val="20"/>
          <w:szCs w:val="20"/>
          <w:color w:val="2E5C00"/>
        </w:rPr>
        <w:t xml:space="preserve">Netto investering (meervoudig):  €14,662</w:t>
      </w:r>
    </w:p>
    <w:p>
      <w:pPr>
        <w:pStyle w:val="Normal"/>
        <w:spacing w:before="0" w:after="40"/>
      </w:pPr>
      <w:r>
        <w:rPr>
          <w:rFonts w:ascii="Calibri" w:hAnsi="Calibri" w:cs="Calibri"/>
          <w:sz w:val="20"/>
          <w:szCs w:val="20"/>
          <w:color w:val="1D1D1B"/>
        </w:rPr>
        <w:t xml:space="preserve">Jaarlijkse energiebesparing:  €195/jr</w:t>
      </w:r>
    </w:p>
    <w:p>
      <w:pPr>
        <w:pStyle w:val="Normal"/>
        <w:spacing w:before="0" w:after="40"/>
      </w:pPr>
      <w:r>
        <w:rPr>
          <w:rFonts w:ascii="Calibri" w:hAnsi="Calibri" w:cs="Calibri"/>
          <w:sz w:val="20"/>
          <w:szCs w:val="20"/>
          <w:color w:val="1D1D1B"/>
        </w:rPr>
        <w:t xml:space="preserve">Terugverdientijd (enkelvoudig):  43.5 jaar</w:t>
      </w:r>
    </w:p>
    <w:p>
      <w:pPr>
        <w:pStyle w:val="Normal"/>
        <w:spacing w:before="0" w:after="40"/>
      </w:pPr>
      <w:r>
        <w:rPr>
          <w:b/>
          <w:rFonts w:ascii="Calibri" w:hAnsi="Calibri" w:cs="Calibri"/>
          <w:sz w:val="20"/>
          <w:szCs w:val="20"/>
          <w:color w:val="2E5C00"/>
        </w:rPr>
        <w:t xml:space="preserve">Terugverdientijd (meervoudig):  40.0 jaar</w:t>
      </w:r>
    </w:p>
    <w:p>
      <w:pPr>
        <w:pStyle w:val="Normal"/>
        <w:spacing w:before="0" w:after="160"/>
      </w:pP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PandIQ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tc>
          <w:tcPr>
            <w:gridSpan w:val="2"/>
            <w:shd w:val="clear" w:color="auto" w:fill="5AAA00"/>
          </w:tcPr>
          <w:p>
            <w:r>
              <w:rPr>
                <w:rFonts w:ascii="Calibri" w:hAnsi="Calibri" w:cs="Calibri"/>
                <w:b/>
                <w:color w:val="FFFFFF"/>
                <w:sz w:val="22"/>
                <w:szCs w:val="22"/>
              </w:rPr>
              <w:t>Woninggegevens</w:t>
            </w:r>
          </w:p>
        </w:tc>
      </w:tr>
      <w:tr w:rsidR="0072010A" w14:paraId="6D6ED46D"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B" w14:textId="77777777" w:rsidR="0072010A" w:rsidRPr="00AF5A6E" w:rsidRDefault="00B346C3">
            <w:r w:rsidRPr="00AF5A6E">
              <w:rPr>
                <w:rFonts w:ascii="Calibri" w:hAnsi="Calibri"/>
                <w:b/>
                <w:bCs/>
                <w:color w:val="1F2937"/>
                <w:sz w:val="22"/>
                <w:szCs w:val="20"/>
              </w:rPr>
              <w:t>Adres</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C" w14:textId="77777777" w:rsidR="0072010A" w:rsidRDefault="00B346C3">
            <w:r>
              <w:rPr>
                <w:rFonts w:ascii="Calibri" w:hAnsi="Calibri"/>
                <w:b w:val="0"/>
                <w:color w:val="1F2937"/>
                <w:sz w:val="22"/>
              </w:rPr>
              <w:t xml:space="preserve">Joeswerd 109, 9746CR Groningen</w:t>
            </w:r>
          </w:p>
        </w:tc>
      </w:tr>
      <w:tr w:rsidR="0072010A" w14:paraId="6D6ED470"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E" w14:textId="77777777" w:rsidR="0072010A" w:rsidRPr="00AF5A6E" w:rsidRDefault="00B346C3">
            <w:r w:rsidRPr="00AF5A6E">
              <w:rPr>
                <w:rFonts w:ascii="Calibri" w:hAnsi="Calibri"/>
                <w:b/>
                <w:bCs/>
                <w:color w:val="1F2937"/>
                <w:sz w:val="22"/>
                <w:szCs w:val="20"/>
              </w:rPr>
              <w:t>Datum rapport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F" w14:textId="77777777" w:rsidR="0072010A" w:rsidRDefault="00B346C3">
            <w:r>
              <w:rPr>
                <w:rFonts w:ascii="Calibri" w:hAnsi="Calibri"/>
                <w:b w:val="0"/>
                <w:color w:val="1F2937"/>
                <w:sz w:val="22"/>
              </w:rPr>
              <w:t xml:space="preserve">30 april 2026</w:t>
            </w:r>
          </w:p>
        </w:tc>
      </w:tr>
      <w:tr w:rsidR="0072010A" w14:paraId="6D6ED473"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1" w14:textId="77777777" w:rsidR="0072010A" w:rsidRPr="00AF5A6E" w:rsidRDefault="00B346C3">
            <w:r w:rsidRPr="00AF5A6E">
              <w:rPr>
                <w:rFonts w:ascii="Calibri" w:hAnsi="Calibri"/>
                <w:b/>
                <w:bCs/>
                <w:color w:val="1F2937"/>
                <w:sz w:val="22"/>
                <w:szCs w:val="20"/>
              </w:rPr>
              <w:t>Bouwjaar</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2" w14:textId="77777777" w:rsidR="0072010A" w:rsidRDefault="00B346C3">
            <w:r>
              <w:rPr>
                <w:rFonts w:ascii="Calibri" w:hAnsi="Calibri"/>
                <w:b w:val="0"/>
                <w:color w:val="1F2937"/>
                <w:sz w:val="22"/>
              </w:rPr>
              <w:t xml:space="preserve">2006</w:t>
            </w:r>
          </w:p>
        </w:tc>
      </w:tr>
      <w:tr w:rsidR="0072010A" w14:paraId="6D6ED476"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4" w14:textId="77777777" w:rsidR="0072010A" w:rsidRPr="00AF5A6E" w:rsidRDefault="00B346C3">
            <w:r w:rsidRPr="00AF5A6E">
              <w:rPr>
                <w:rFonts w:ascii="Calibri" w:hAnsi="Calibri"/>
                <w:b/>
                <w:bCs/>
                <w:color w:val="1F2937"/>
                <w:sz w:val="22"/>
                <w:szCs w:val="20"/>
              </w:rPr>
              <w:t>Bouwperiode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5" w14:textId="77777777" w:rsidR="0072010A" w:rsidRDefault="00B346C3">
            <w:r>
              <w:rPr>
                <w:rFonts w:ascii="Calibri" w:hAnsi="Calibri"/>
                <w:b w:val="0"/>
                <w:color w:val="1F2937"/>
                <w:sz w:val="22"/>
              </w:rPr>
              <w:t xml:space="preserve">2006–2014</w:t>
            </w:r>
          </w:p>
        </w:tc>
      </w:tr>
      <w:tr w:rsidR="0072010A" w14:paraId="6D6ED479"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7" w14:textId="77777777" w:rsidR="0072010A" w:rsidRPr="00AF5A6E" w:rsidRDefault="00B346C3">
            <w:r w:rsidRPr="00AF5A6E">
              <w:rPr>
                <w:rFonts w:ascii="Calibri" w:hAnsi="Calibri"/>
                <w:b/>
                <w:bCs/>
                <w:color w:val="1F2937"/>
                <w:sz w:val="22"/>
                <w:szCs w:val="20"/>
              </w:rPr>
              <w:t>Gebruiksoppervlakte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8" w14:textId="77777777" w:rsidR="0072010A" w:rsidRDefault="00B346C3">
            <w:r>
              <w:rPr>
                <w:rFonts w:ascii="Calibri" w:hAnsi="Calibri"/>
                <w:b w:val="0"/>
                <w:color w:val="1F2937"/>
                <w:sz w:val="22"/>
              </w:rPr>
              <w:t xml:space="preserve">79 m²</w:t>
            </w:r>
          </w:p>
        </w:tc>
      </w:tr>
      <w:tr w:rsidR="0072010A" w14:paraId="6D6ED47C"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A" w14:textId="77777777" w:rsidR="0072010A" w:rsidRPr="00AF5A6E" w:rsidRDefault="00B346C3">
            <w:r w:rsidRPr="00AF5A6E">
              <w:rPr>
                <w:rFonts w:ascii="Calibri" w:hAnsi="Calibri"/>
                <w:b/>
                <w:bCs/>
                <w:color w:val="1F2937"/>
                <w:sz w:val="22"/>
                <w:szCs w:val="20"/>
              </w:rPr>
              <w:t>Energielabel</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B" w14:textId="77777777" w:rsidR="0072010A" w:rsidRDefault="00B346C3">
            <w:r>
              <w:rPr>
                <w:rFonts w:ascii="Calibri" w:hAnsi="Calibri"/>
                <w:b w:val="0"/>
                <w:color w:val="1F2937"/>
                <w:sz w:val="22"/>
              </w:rPr>
              <w:t xml:space="preserve">—</w:t>
            </w:r>
          </w:p>
        </w:tc>
      </w:tr>
      <w:tr w:rsidR="0072010A" w14:paraId="6D6ED47F"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D" w14:textId="77777777" w:rsidR="0072010A" w:rsidRPr="00AF5A6E" w:rsidRDefault="00B346C3">
            <w:r w:rsidRPr="00AF5A6E">
              <w:rPr>
                <w:rFonts w:ascii="Calibri" w:hAnsi="Calibri"/>
                <w:b/>
                <w:bCs/>
                <w:color w:val="1F2937"/>
                <w:sz w:val="22"/>
                <w:szCs w:val="20"/>
              </w:rPr>
              <w:t>Registratiedatum</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E" w14:textId="77777777" w:rsidR="0072010A" w:rsidRDefault="00B346C3">
            <w:r>
              <w:rPr>
                <w:rFonts w:ascii="Calibri" w:hAnsi="Calibri"/>
                <w:b w:val="0"/>
                <w:color w:val="1F2937"/>
                <w:sz w:val="22"/>
              </w:rPr>
              <w:t xml:space="preserve">—</w:t>
            </w:r>
          </w:p>
        </w:tc>
      </w:tr>
      <w:tr w:rsidR="0072010A" w14:paraId="6D6ED482"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0" w14:textId="77777777" w:rsidR="0072010A" w:rsidRPr="00AF5A6E" w:rsidRDefault="00B346C3">
            <w:r w:rsidRPr="00AF5A6E">
              <w:rPr>
                <w:rFonts w:ascii="Calibri" w:hAnsi="Calibri"/>
                <w:b/>
                <w:bCs/>
                <w:color w:val="1F2937"/>
                <w:sz w:val="22"/>
                <w:szCs w:val="20"/>
              </w:rPr>
              <w:t>Geldig tot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1" w14:textId="77777777" w:rsidR="0072010A" w:rsidRDefault="00B346C3">
            <w:r>
              <w:rPr>
                <w:rFonts w:ascii="Calibri" w:hAnsi="Calibri"/>
                <w:b w:val="0"/>
                <w:color w:val="1F2937"/>
                <w:sz w:val="22"/>
              </w:rPr>
              <w:t xml:space="preserve">—</w:t>
            </w:r>
          </w:p>
        </w:tc>
      </w:tr>
      <w:tr w:rsidR="0072010A" w14:paraId="6D6ED485"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3" w14:textId="77777777" w:rsidR="0072010A" w:rsidRPr="00AF5A6E" w:rsidRDefault="00B346C3">
            <w:r w:rsidRPr="00AF5A6E">
              <w:rPr>
                <w:rFonts w:ascii="Calibri" w:hAnsi="Calibri"/>
                <w:b/>
                <w:bCs/>
                <w:color w:val="1F2937"/>
                <w:sz w:val="22"/>
                <w:szCs w:val="20"/>
              </w:rPr>
              <w:t>Energiebehoefte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4" w14:textId="77777777" w:rsidR="0072010A" w:rsidRDefault="00B346C3">
            <w:r>
              <w:rPr>
                <w:rFonts w:ascii="Calibri" w:hAnsi="Calibri"/>
                <w:b w:val="0"/>
                <w:color w:val="1F2937"/>
                <w:sz w:val="22"/>
              </w:rPr>
              <w:t xml:space="preserve">—</w:t>
            </w:r>
          </w:p>
        </w:tc>
      </w:tr>
      <w:tr w:rsidR="0072010A" w14:paraId="6D6ED488"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6" w14:textId="77777777" w:rsidR="0072010A" w:rsidRPr="00AF5A6E" w:rsidRDefault="00B346C3">
            <w:r w:rsidRPr="00AF5A6E">
              <w:rPr>
                <w:rFonts w:ascii="Calibri" w:hAnsi="Calibri"/>
                <w:b/>
                <w:bCs/>
                <w:color w:val="1F2937"/>
                <w:sz w:val="22"/>
                <w:szCs w:val="20"/>
              </w:rPr>
              <w:t>Warmtebehoefte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7" w14:textId="77777777" w:rsidR="0072010A" w:rsidRDefault="00B346C3">
            <w:r>
              <w:rPr>
                <w:rFonts w:ascii="Calibri" w:hAnsi="Calibri"/>
                <w:b w:val="0"/>
                <w:color w:val="1F2937"/>
                <w:sz w:val="22"/>
              </w:rPr>
              <w:t xml:space="preserve">—</w:t>
            </w:r>
          </w:p>
        </w:tc>
      </w:tr>
      <w:tr w:rsidR="0072010A" w14:paraId="6D6ED48B"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9" w14:textId="77777777" w:rsidR="0072010A" w:rsidRPr="00AF5A6E" w:rsidRDefault="00B346C3">
            <w:r w:rsidRPr="00AF5A6E">
              <w:rPr>
                <w:rFonts w:ascii="Calibri" w:hAnsi="Calibri"/>
                <w:b/>
                <w:bCs/>
                <w:color w:val="1F2937"/>
                <w:sz w:val="22"/>
                <w:szCs w:val="20"/>
              </w:rPr>
              <w:t>Woningtype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A" w14:textId="77777777" w:rsidR="0072010A" w:rsidRDefault="00B346C3">
            <w:r>
              <w:rPr>
                <w:rFonts w:ascii="Calibri" w:hAnsi="Calibri"/>
                <w:b w:val="0"/>
                <w:color w:val="1F2937"/>
                <w:sz w:val="22"/>
              </w:rPr>
              <w:t xml:space="preserve">—</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valt onder het Bouwbesluit van 1992, met latere aanscherpingen via de Energieprestatiecoëfficiënt (EPC). De schil is standaard voorzien van dakisolatie, spouwvulling en mechanische ventilatie — een kwalitatief goede basis met Rc 2,5. De focus verschuift hier van basisisolatie naar het optimaliseren van systemen en het dichten van de laatste energielekken.</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pPr>
        <w:pStyle w:val="Normal"/>
        <w:spacing w:before="0" w:after="200"/>
      </w:pPr>
    </w:p>
    <w:p>
      <w:pPr>
        <w:pStyle w:val="Normal"/>
        <w:spacing w:before="0" w:after="160"/>
      </w:pPr>
      <w:r>
        <w:rPr>
          <w:rFonts w:ascii="Calibri" w:hAnsi="Calibri" w:cs="Calibri"/>
          <w:sz w:val="22"/>
          <w:szCs w:val="22"/>
          <w:color w:val="1D1D1B"/>
        </w:rPr>
        <w:t xml:space="preserve">De gebouwschil is op orde. De meeste winst zit in het optimaliseren van installaties: ventilatie, verwarming en eventuele duurzame opwek.</w:t>
      </w:r>
    </w:p>
    <w:p>
      <w:pPr>
        <w:pStyle w:val="Normal"/>
        <w:spacing w:before="0" w:after="80"/>
      </w:pPr>
      <w:r>
        <w:rPr>
          <w:rFonts w:ascii="Calibri" w:hAnsi="Calibri" w:cs="Calibri"/>
          <w:sz w:val="22"/>
          <w:szCs w:val="22"/>
          <w:color w:val="2E7D32"/>
        </w:rPr>
        <w:t xml:space="preserve">Gevel (score 2/5) — dit onderdeel is goed op orde.</w:t>
      </w:r>
    </w:p>
    <w:p>
      <w:pPr>
        <w:pStyle w:val="Normal"/>
        <w:spacing w:before="0" w:after="80"/>
      </w:pPr>
      <w:r>
        <w:rPr>
          <w:rFonts w:ascii="Calibri" w:hAnsi="Calibri" w:cs="Calibri"/>
          <w:sz w:val="22"/>
          <w:szCs w:val="22"/>
          <w:color w:val="2E7D32"/>
        </w:rPr>
        <w:t xml:space="preserve">Dak (score 2/5) — dit onderdeel is goed op orde.</w:t>
      </w:r>
    </w:p>
    <w:p>
      <w:pPr>
        <w:pStyle w:val="Normal"/>
        <w:spacing w:before="0" w:after="80"/>
      </w:pPr>
      <w:r>
        <w:rPr>
          <w:rFonts w:ascii="Calibri" w:hAnsi="Calibri" w:cs="Calibri"/>
          <w:sz w:val="22"/>
          <w:szCs w:val="22"/>
          <w:color w:val="2E7D32"/>
        </w:rPr>
        <w:t xml:space="preserve">Glas (score 2/5) — dit onderdeel is goed op orde.</w:t>
      </w:r>
    </w:p>
    <w:p>
      <w:pPr>
        <w:pStyle w:val="Normal"/>
        <w:spacing w:before="0" w:after="80"/>
      </w:pPr>
      <w:r>
        <w:rPr>
          <w:rFonts w:ascii="Calibri" w:hAnsi="Calibri" w:cs="Calibri"/>
          <w:sz w:val="22"/>
          <w:szCs w:val="22"/>
          <w:color w:val="2E7D32"/>
        </w:rPr>
        <w:t xml:space="preserve">Vloer (score 2/5) — dit onderdeel is goed op orde.</w:t>
      </w:r>
    </w:p>
    <w:p>
      <w:pPr>
        <w:pStyle w:val="Normal"/>
        <w:spacing w:before="0" w:after="80"/>
      </w:pPr>
    </w:p>
    <w:p w14:paraId="6D6ED4B4" w14:textId="3311D600" w:rsidR="0072010A" w:rsidRPr="00DC422D" w:rsidRDefault="00B346C3">
      <w:pPr>
        <w:pStyle w:val="Kop1"/>
        <w:pBdr>
          <w:bottom w:val="single" w:sz="4" w:space="4" w:color="2E6BE6"/>
        </w:pBdr>
        <w:rPr>
          <w:color w:val="5AAA00"/>
        </w:rPr>
      </w:pPr>
      <w:r w:rsidRPr="00DC422D">
        <w:rPr>
          <w:color w:val="5AAA00"/>
        </w:rPr>
        <w:lastRenderedPageBreak/>
        <w:t>Aandachtspunten en risico’s</w:t>
      </w:r>
    </w:p>
    <w:p w14:paraId="6D6ED4B5" w14:textId="77777777" w:rsidR="0072010A" w:rsidRDefault="00B346C3">
      <w:pPr>
        <w:spacing w:before="80" w:after="160"/>
      </w:pPr>
      <w:r>
        <w:rPr>
          <w:color w:val="1A2340"/>
        </w:rPr>
        <w:t xml:space="preserve">- Slechte luchtkwaliteit: deze woningen zijn bij oplevering al redelijk luchtdicht. Het verder dichten van kieren zonder het ventilatiesysteem te upgraden leidt direct tot een ongezond binnenklimaat en verhoogde kans op schimmelgroei.</w:t>
      </w:r>
    </w:p>
    <w:p>
      <w:pPr>
        <w:spacing w:before="80" w:after="160"/>
      </w:pPr>
      <w:r>
        <w:rPr>
          <w:color w:val="1A2340"/>
        </w:rPr>
        <w:t xml:space="preserve">- Vervuilde ventilatie: de mechanische afzuiging is vaak niet onderhouden. Dit kost energie en verslechtert de luchtkwaliteit merkbaar.</w:t>
      </w:r>
    </w:p>
    <w:p>
      <w:pPr>
        <w:spacing w:before="80" w:after="160"/>
      </w:pPr>
      <w:r>
        <w:rPr>
          <w:color w:val="1A2340"/>
        </w:rPr>
        <w:t xml:space="preserve">- Oververhitting in de zomer: de goede isolatieschil houdt warmte ook binnen. Bij het vervangen van glas voor zonwerende beglazing houdt dit in de winter ook 'gratis' zonnewarmte tegen. Overweeg een CO2-indicator om de luchtkwaliteit na verduurzaming te monitoren.</w:t>
      </w:r>
    </w:p>
    <w:p>
      <w:pPr>
        <w:spacing w:before="80" w:after="160"/>
      </w:pPr>
      <w:r>
        <w:rPr>
          <w:color w:val="1A2340"/>
        </w:rPr>
        <w:t xml:space="preserve">- Sluipverbruik: inefficiënte instellingen van ventilatiesystemen zijn de grootste verliesposten — onzichtbaar maar structureel aanwezig op de energierekening.</w:t>
      </w:r>
    </w:p>
    <w:p>
      <w:pPr>
        <w:spacing w:before="120" w:after="120"/>
      </w:pPr>
    </w:p>
    <w:p>
      <w:pPr>
        <w:spacing w:before="80" w:after="160"/>
      </w:pPr>
      <w:r>
        <w:rPr>
          <w:color w:val="1A2340"/>
        </w:rPr>
        <w:t xml:space="preserve">Bouwfysisch risico bij na-isoleren: als uw woning al (gedeeltelijk) geïsoleerd is, brengt aanvullende isolatie bouwfysische risico's met zich mee. Een verstoorde dampdiffusie of onvoldoende ventilatie kan leiden tot vocht, condensatie en schimmelvorming in de constructie — schade die niet altijd direct zichtbaar is maar de constructie ernstig kan aantasten. Laat een erkend bedrijf of bouwfysisch adviseur daarom altijd eerst een technisch onderzoek uitvoeren voordat u overgaat tot na-isoleren.</w:t>
      </w:r>
    </w:p>
    <w:p>
      <w:pPr>
        <w:spacing w:before="120" w:after="120"/>
      </w:pPr>
    </w:p>
    <w:p>
      <w:pPr>
        <w:spacing w:before="80" w:after="160"/>
      </w:pPr>
      <w:r>
        <w:rPr>
          <w:color w:val="1A2340"/>
        </w:rPr>
        <w:t xml:space="preserve">Laat de bevindingen bevestigen via een foto-inspectie of maatwerkadvies. Neem contact op met PandIQ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Maatregel</w:t>
            </w:r>
          </w:p>
        </w:tc>
        <w:tc>
          <w:tcPr>
            <w:tcW w:w="1942" w:type="dxa"/>
            <w:shd w:val="clear" w:color="auto" w:fill="5AAA00"/>
          </w:tcPr>
          <w:p>
            <w:r/>
            <w:r>
              <w:rPr>
                <w:rFonts w:ascii="Calibri" w:hAnsi="Calibri"/>
                <w:b/>
                <w:i w:val="0"/>
                <w:color w:val="FFFFFF"/>
                <w:sz w:val="22"/>
              </w:rPr>
              <w:t>ISDE 2026 (€/m²)</w:t>
            </w:r>
          </w:p>
        </w:tc>
        <w:tc>
          <w:tcPr>
            <w:tcW w:w="1942" w:type="dxa"/>
            <w:shd w:val="clear" w:color="auto" w:fill="5AAA00"/>
          </w:tcPr>
          <w:p>
            <w:r/>
            <w:r>
              <w:rPr>
                <w:rFonts w:ascii="Calibri" w:hAnsi="Calibri"/>
                <w:b/>
                <w:i w:val="0"/>
                <w:color w:val="FFFFFF"/>
                <w:sz w:val="22"/>
              </w:rPr>
              <w:t>Biobased bonus</w:t>
            </w:r>
          </w:p>
        </w:tc>
        <w:tc>
          <w:tcPr>
            <w:tcW w:w="1942" w:type="dxa"/>
            <w:shd w:val="clear" w:color="auto" w:fill="5AAA00"/>
          </w:tcPr>
          <w:p>
            <w:r/>
            <w:r>
              <w:rPr>
                <w:rFonts w:ascii="Calibri" w:hAnsi="Calibri"/>
                <w:b/>
                <w:i w:val="0"/>
                <w:color w:val="FFFFFF"/>
                <w:sz w:val="22"/>
              </w:rPr>
              <w:t>Min. Rc/Rd</w:t>
            </w:r>
          </w:p>
        </w:tc>
      </w:tr>
      <w:tr>
        <w:trPr>
          <w:trHeight w:val="400" w:hRule="atLeast"/>
        </w:trPr>
        <w:tc>
          <w:tcPr>
            <w:tcW w:type="dxa" w:w="3200"/>
            <w:shd w:val="clear" w:color="auto" w:fill="FFFFFF"/>
          </w:tcPr>
          <w:p>
            <w:r/>
            <w:r>
              <w:rPr>
                <w:rFonts w:ascii="Calibri" w:hAnsi="Calibri"/>
                <w:b/>
                <w:i w:val="0"/>
                <w:color w:val="1D1D1B"/>
                <w:sz w:val="22"/>
              </w:rPr>
              <w:t>Gevelisolatie (binnen/buiten)</w:t>
            </w:r>
          </w:p>
        </w:tc>
        <w:tc>
          <w:tcPr>
            <w:tcW w:type="dxa" w:w="1942"/>
            <w:shd w:val="clear" w:color="auto" w:fill="FFFFFF"/>
          </w:tcPr>
          <w:p>
            <w:r/>
            <w:r>
              <w:rPr>
                <w:rFonts w:ascii="Calibri" w:hAnsi="Calibri"/>
                <w:b/>
                <w:i w:val="0"/>
                <w:color w:val="1D1D1B"/>
                <w:sz w:val="22"/>
              </w:rPr>
              <w:t>€ 20.25/m²</w:t>
            </w:r>
          </w:p>
        </w:tc>
        <w:tc>
          <w:tcPr>
            <w:tcW w:type="dxa" w:w="1942"/>
            <w:shd w:val="clear" w:color="auto" w:fill="FFFFFF"/>
          </w:tcPr>
          <w:p>
            <w:r/>
            <w:r>
              <w:rPr>
                <w:rFonts w:ascii="Calibri" w:hAnsi="Calibri"/>
                <w:b w:val="0"/>
                <w:i w:val="0"/>
                <w:color w:val="1D1D1B"/>
                <w:sz w:val="22"/>
              </w:rPr>
              <w:t>+ € 6.00/m²</w:t>
            </w:r>
          </w:p>
        </w:tc>
        <w:tc>
          <w:tcPr>
            <w:tcW w:type="dxa" w:w="1942"/>
            <w:shd w:val="clear" w:color="auto" w:fill="FFFFFF"/>
          </w:tcPr>
          <w:p>
            <w:r/>
            <w:r>
              <w:rPr>
                <w:rFonts w:ascii="Calibri" w:hAnsi="Calibri"/>
                <w:b w:val="0"/>
                <w:i w:val="0"/>
                <w:color w:val="1D1D1B"/>
                <w:sz w:val="22"/>
              </w:rPr>
              <w:t>Rc ≥ 3,5 / Rd ≥ 2,5 m²K/W</w:t>
            </w:r>
          </w:p>
        </w:tc>
      </w:tr>
      <w:tr>
        <w:trPr>
          <w:trHeight w:val="400" w:hRule="atLeast"/>
        </w:trPr>
        <w:tc>
          <w:tcPr>
            <w:tcW w:type="dxa" w:w="3200"/>
            <w:shd w:val="clear" w:color="auto" w:fill="FFFFFF"/>
          </w:tcPr>
          <w:p>
            <w:r/>
            <w:r>
              <w:rPr>
                <w:rFonts w:ascii="Calibri" w:hAnsi="Calibri"/>
                <w:b/>
                <w:i w:val="0"/>
                <w:color w:val="1D1D1B"/>
                <w:sz w:val="22"/>
              </w:rPr>
              <w:t>Dakisolatie</w:t>
            </w:r>
          </w:p>
        </w:tc>
        <w:tc>
          <w:tcPr>
            <w:tcW w:type="dxa" w:w="1942"/>
            <w:shd w:val="clear" w:color="auto" w:fill="FFFFFF"/>
          </w:tcPr>
          <w:p>
            <w:r/>
            <w:r>
              <w:rPr>
                <w:rFonts w:ascii="Calibri" w:hAnsi="Calibri"/>
                <w:b/>
                <w:i w:val="0"/>
                <w:color w:val="1D1D1B"/>
                <w:sz w:val="22"/>
              </w:rPr>
              <w:t>€ 16.25/m²</w:t>
            </w:r>
          </w:p>
        </w:tc>
        <w:tc>
          <w:tcPr>
            <w:tcW w:type="dxa" w:w="1942"/>
            <w:shd w:val="clear" w:color="auto" w:fill="FFFFFF"/>
          </w:tcPr>
          <w:p>
            <w:r/>
            <w:r>
              <w:rPr>
                <w:rFonts w:ascii="Calibri" w:hAnsi="Calibri"/>
                <w:b w:val="0"/>
                <w:i w:val="0"/>
                <w:color w:val="1D1D1B"/>
                <w:sz w:val="22"/>
              </w:rPr>
              <w:t>+ € 5.00/m²</w:t>
            </w:r>
          </w:p>
        </w:tc>
        <w:tc>
          <w:tcPr>
            <w:tcW w:type="dxa" w:w="1942"/>
            <w:shd w:val="clear" w:color="auto" w:fill="FFFFFF"/>
          </w:tcPr>
          <w:p>
            <w:r/>
            <w:r>
              <w:rPr>
                <w:rFonts w:ascii="Calibri" w:hAnsi="Calibri"/>
                <w:b w:val="0"/>
                <w:i w:val="0"/>
                <w:color w:val="1D1D1B"/>
                <w:sz w:val="22"/>
              </w:rPr>
              <w:t>Rc ≥ 3,5 m²K/W</w:t>
            </w:r>
          </w:p>
        </w:tc>
      </w:tr>
      <w:tr>
        <w:trPr>
          <w:trHeight w:val="400" w:hRule="atLeast"/>
        </w:trPr>
        <w:tc>
          <w:tcPr>
            <w:tcW w:type="dxa" w:w="3200"/>
          </w:tcPr>
          <w:p>
            <w:r/>
            <w:r>
              <w:rPr>
                <w:rFonts w:ascii="Calibri" w:hAnsi="Calibri"/>
                <w:b w:val="0"/>
                <w:i w:val="0"/>
                <w:color w:val="999999"/>
                <w:sz w:val="22"/>
              </w:rPr>
              <w:t>Zoldervloerisolatie</w:t>
            </w:r>
          </w:p>
        </w:tc>
        <w:tc>
          <w:tcPr>
            <w:tcW w:type="dxa" w:w="1942"/>
          </w:tcPr>
          <w:p>
            <w:r/>
            <w:r>
              <w:rPr>
                <w:rFonts w:ascii="Calibri" w:hAnsi="Calibri"/>
                <w:b w:val="0"/>
                <w:i w:val="0"/>
                <w:color w:val="999999"/>
                <w:sz w:val="22"/>
              </w:rPr>
              <w:t>€ 4.00/m²</w:t>
            </w:r>
          </w:p>
        </w:tc>
        <w:tc>
          <w:tcPr>
            <w:tcW w:type="dxa" w:w="1942"/>
          </w:tcPr>
          <w:p>
            <w:r/>
            <w:r>
              <w:rPr>
                <w:rFonts w:ascii="Calibri" w:hAnsi="Calibri"/>
                <w:b w:val="0"/>
                <w:i w:val="0"/>
                <w:color w:val="999999"/>
                <w:sz w:val="22"/>
              </w:rPr>
              <w:t>+ € 1.50/m²</w:t>
            </w:r>
          </w:p>
        </w:tc>
        <w:tc>
          <w:tcPr>
            <w:tcW w:type="dxa" w:w="1942"/>
          </w:tcPr>
          <w:p>
            <w:r/>
            <w:r>
              <w:rPr>
                <w:rFonts w:ascii="Calibri" w:hAnsi="Calibri"/>
                <w:b w:val="0"/>
                <w:i w:val="0"/>
                <w:color w:val="999999"/>
                <w:sz w:val="22"/>
              </w:rPr>
              <w:t>Rc ≥ 3,5 m²K/W</w:t>
            </w:r>
          </w:p>
        </w:tc>
      </w:tr>
      <w:tr>
        <w:trPr>
          <w:trHeight w:val="400" w:hRule="atLeast"/>
        </w:trPr>
        <w:tc>
          <w:tcPr>
            <w:tcW w:type="dxa" w:w="3200"/>
            <w:shd w:val="clear" w:color="auto" w:fill="FFFFFF"/>
          </w:tcPr>
          <w:p>
            <w:r/>
            <w:r>
              <w:rPr>
                <w:rFonts w:ascii="Calibri" w:hAnsi="Calibri"/>
                <w:b/>
                <w:i w:val="0"/>
                <w:color w:val="1D1D1B"/>
                <w:sz w:val="22"/>
              </w:rPr>
              <w:t>Spouwmuurisolatie</w:t>
            </w:r>
          </w:p>
        </w:tc>
        <w:tc>
          <w:tcPr>
            <w:tcW w:type="dxa" w:w="1942"/>
            <w:shd w:val="clear" w:color="auto" w:fill="FFFFFF"/>
          </w:tcPr>
          <w:p>
            <w:r/>
            <w:r>
              <w:rPr>
                <w:rFonts w:ascii="Calibri" w:hAnsi="Calibri"/>
                <w:b/>
                <w:i w:val="0"/>
                <w:color w:val="1D1D1B"/>
                <w:sz w:val="22"/>
              </w:rPr>
              <w:t>€ 5.25/m²</w:t>
            </w:r>
          </w:p>
        </w:tc>
        <w:tc>
          <w:tcPr>
            <w:tcW w:type="dxa" w:w="1942"/>
            <w:shd w:val="clear" w:color="auto" w:fill="FFFFFF"/>
          </w:tcPr>
          <w:p>
            <w:r/>
            <w:r>
              <w:rPr>
                <w:rFonts w:ascii="Calibri" w:hAnsi="Calibri"/>
                <w:b w:val="0"/>
                <w:i w:val="0"/>
                <w:color w:val="1D1D1B"/>
                <w:sz w:val="22"/>
              </w:rPr>
              <w:t>+ € 1.50/m²</w:t>
            </w:r>
          </w:p>
        </w:tc>
        <w:tc>
          <w:tcPr>
            <w:tcW w:type="dxa" w:w="1942"/>
            <w:shd w:val="clear" w:color="auto" w:fill="FFFFFF"/>
          </w:tcPr>
          <w:p>
            <w:r/>
            <w:r>
              <w:rPr>
                <w:rFonts w:ascii="Calibri" w:hAnsi="Calibri"/>
                <w:b w:val="0"/>
                <w:i w:val="0"/>
                <w:color w:val="1D1D1B"/>
                <w:sz w:val="22"/>
              </w:rPr>
              <w:t>Rc ≥ 1,1 m²K/W</w:t>
            </w:r>
          </w:p>
        </w:tc>
      </w:tr>
      <w:tr>
        <w:trPr>
          <w:trHeight w:val="400" w:hRule="atLeast"/>
        </w:trPr>
        <w:tc>
          <w:tcPr>
            <w:tcW w:type="dxa" w:w="3200"/>
            <w:shd w:val="clear" w:color="auto" w:fill="FFFFFF"/>
          </w:tcPr>
          <w:p>
            <w:r/>
            <w:r>
              <w:rPr>
                <w:rFonts w:ascii="Calibri" w:hAnsi="Calibri"/>
                <w:b/>
                <w:i w:val="0"/>
                <w:color w:val="1D1D1B"/>
                <w:sz w:val="22"/>
              </w:rPr>
              <w:t>Vloerisolatie</w:t>
            </w:r>
          </w:p>
        </w:tc>
        <w:tc>
          <w:tcPr>
            <w:tcW w:type="dxa" w:w="1942"/>
            <w:shd w:val="clear" w:color="auto" w:fill="FFFFFF"/>
          </w:tcPr>
          <w:p>
            <w:r/>
            <w:r>
              <w:rPr>
                <w:rFonts w:ascii="Calibri" w:hAnsi="Calibri"/>
                <w:b/>
                <w:i w:val="0"/>
                <w:color w:val="1D1D1B"/>
                <w:sz w:val="22"/>
              </w:rPr>
              <w:t>€ 5.50/m²</w:t>
            </w:r>
          </w:p>
        </w:tc>
        <w:tc>
          <w:tcPr>
            <w:tcW w:type="dxa" w:w="1942"/>
            <w:shd w:val="clear" w:color="auto" w:fill="FFFFFF"/>
          </w:tcPr>
          <w:p>
            <w:r/>
            <w:r>
              <w:rPr>
                <w:rFonts w:ascii="Calibri" w:hAnsi="Calibri"/>
                <w:b w:val="0"/>
                <w:i w:val="0"/>
                <w:color w:val="1D1D1B"/>
                <w:sz w:val="22"/>
              </w:rPr>
              <w:t>+ € 2.00/m²</w:t>
            </w:r>
          </w:p>
        </w:tc>
        <w:tc>
          <w:tcPr>
            <w:tcW w:type="dxa" w:w="1942"/>
            <w:shd w:val="clear" w:color="auto" w:fill="FFFFFF"/>
          </w:tcPr>
          <w:p>
            <w:r/>
            <w:r>
              <w:rPr>
                <w:rFonts w:ascii="Calibri" w:hAnsi="Calibri"/>
                <w:b w:val="0"/>
                <w:i w:val="0"/>
                <w:color w:val="1D1D1B"/>
                <w:sz w:val="22"/>
              </w:rPr>
              <w:t>Rc ≥ 3,5 m²K/W</w:t>
            </w:r>
          </w:p>
        </w:tc>
      </w:tr>
      <w:tr>
        <w:trPr>
          <w:trHeight w:val="400" w:hRule="atLeast"/>
        </w:trPr>
        <w:tc>
          <w:tcPr>
            <w:tcW w:type="dxa" w:w="3200"/>
          </w:tcPr>
          <w:p>
            <w:r/>
            <w:r>
              <w:rPr>
                <w:rFonts w:ascii="Calibri" w:hAnsi="Calibri"/>
                <w:b w:val="0"/>
                <w:i w:val="0"/>
                <w:color w:val="999999"/>
                <w:sz w:val="22"/>
              </w:rPr>
              <w:t>Bodemisolatie (kruipruimte)</w:t>
            </w:r>
          </w:p>
        </w:tc>
        <w:tc>
          <w:tcPr>
            <w:tcW w:type="dxa" w:w="1942"/>
          </w:tcPr>
          <w:p>
            <w:r/>
            <w:r>
              <w:rPr>
                <w:rFonts w:ascii="Calibri" w:hAnsi="Calibri"/>
                <w:b w:val="0"/>
                <w:i w:val="0"/>
                <w:color w:val="999999"/>
                <w:sz w:val="22"/>
              </w:rPr>
              <w:t>€ 3.00/m²</w:t>
            </w:r>
          </w:p>
        </w:tc>
        <w:tc>
          <w:tcPr>
            <w:tcW w:type="dxa" w:w="1942"/>
          </w:tcPr>
          <w:p>
            <w:r/>
            <w:r>
              <w:rPr>
                <w:rFonts w:ascii="Calibri" w:hAnsi="Calibri"/>
                <w:b w:val="0"/>
                <w:i w:val="0"/>
                <w:color w:val="999999"/>
                <w:sz w:val="22"/>
              </w:rPr>
              <w:t>+ € 1.00/m²</w:t>
            </w:r>
          </w:p>
        </w:tc>
        <w:tc>
          <w:tcPr>
            <w:tcW w:type="dxa" w:w="1942"/>
          </w:tcPr>
          <w:p>
            <w:r/>
            <w:r>
              <w:rPr>
                <w:rFonts w:ascii="Calibri" w:hAnsi="Calibri"/>
                <w:b w:val="0"/>
                <w:i w:val="0"/>
                <w:color w:val="999999"/>
                <w:sz w:val="22"/>
              </w:rPr>
              <w:t>Rc ≥ 1,3 m²K/W</w:t>
            </w:r>
          </w:p>
        </w:tc>
      </w:tr>
    </w:tbl>
    <w:p/>
    <w:tbl>
      <w:tblPr>
        <w:tblW w:w="9026" w:type="dxa"/>
        <w:tblLook w:firstColumn="1" w:firstRow="1" w:lastColumn="0" w:lastRow="0" w:noHBand="0" w:noVBand="1" w:val="04A0"/>
      </w:tblPr>
      <w:tblGrid>
        <w:gridCol w:w="3200"/>
        <w:gridCol w:w="2913"/>
        <w:gridCol w:w="2913"/>
      </w:tblGrid>
      <w:tr>
        <w:trPr>
          <w:trHeight w:val="400" w:hRule="atLeast"/>
        </w:trPr>
        <w:tc>
          <w:tcPr>
            <w:tcW w:w="3200" w:type="dxa"/>
            <w:shd w:val="clear" w:color="auto" w:fill="5AAA00"/>
          </w:tcPr>
          <w:p>
            <w:r/>
            <w:r>
              <w:rPr>
                <w:rFonts w:ascii="Calibri" w:hAnsi="Calibri"/>
                <w:b/>
                <w:i w:val="0"/>
                <w:color w:val="FFFFFF"/>
                <w:sz w:val="22"/>
              </w:rPr>
              <w:t>Type glas</w:t>
            </w:r>
          </w:p>
        </w:tc>
        <w:tc>
          <w:tcPr>
            <w:tcW w:w="2913" w:type="dxa"/>
            <w:shd w:val="clear" w:color="auto" w:fill="5AAA00"/>
          </w:tcPr>
          <w:p>
            <w:r/>
            <w:r>
              <w:rPr>
                <w:rFonts w:ascii="Calibri" w:hAnsi="Calibri"/>
                <w:b/>
                <w:i w:val="0"/>
                <w:color w:val="FFFFFF"/>
                <w:sz w:val="22"/>
              </w:rPr>
              <w:t>ISDE 2026 (€/m²)</w:t>
            </w:r>
          </w:p>
        </w:tc>
        <w:tc>
          <w:tcPr>
            <w:tcW w:w="2913" w:type="dxa"/>
            <w:shd w:val="clear" w:color="auto" w:fill="5AAA00"/>
          </w:tcPr>
          <w:p>
            <w:r/>
            <w:r>
              <w:rPr>
                <w:rFonts w:ascii="Calibri" w:hAnsi="Calibri"/>
                <w:b/>
                <w:i w:val="0"/>
                <w:color w:val="FFFFFF"/>
                <w:sz w:val="22"/>
              </w:rPr>
              <w:t>Min. U-waarde</w:t>
            </w:r>
          </w:p>
        </w:tc>
      </w:tr>
      <w:tr>
        <w:trPr>
          <w:trHeight w:val="400" w:hRule="atLeast"/>
        </w:trPr>
        <w:tc>
          <w:tcPr>
            <w:tcW w:type="dxa" w:w="3200"/>
            <w:shd w:val="clear" w:color="auto" w:fill="FFFFFF"/>
          </w:tcPr>
          <w:p>
            <w:r/>
            <w:r>
              <w:rPr>
                <w:rFonts w:ascii="Calibri" w:hAnsi="Calibri"/>
                <w:b/>
                <w:i w:val="0"/>
                <w:color w:val="1D1D1B"/>
                <w:sz w:val="22"/>
              </w:rPr>
              <w:t>HR++ glas</w:t>
            </w:r>
          </w:p>
        </w:tc>
        <w:tc>
          <w:tcPr>
            <w:tcW w:type="dxa" w:w="2913"/>
            <w:shd w:val="clear" w:color="auto" w:fill="FFFFFF"/>
          </w:tcPr>
          <w:p>
            <w:r/>
            <w:r>
              <w:rPr>
                <w:rFonts w:ascii="Calibri" w:hAnsi="Calibri"/>
                <w:b/>
                <w:i w:val="0"/>
                <w:color w:val="1D1D1B"/>
                <w:sz w:val="22"/>
              </w:rPr>
              <w:t>€ 12.50/m²</w:t>
            </w:r>
          </w:p>
        </w:tc>
        <w:tc>
          <w:tcPr>
            <w:tcW w:type="dxa" w:w="2913"/>
            <w:shd w:val="clear" w:color="auto" w:fill="FFFFFF"/>
          </w:tcPr>
          <w:p>
            <w:r/>
            <w:r>
              <w:rPr>
                <w:rFonts w:ascii="Calibri" w:hAnsi="Calibri"/>
                <w:b w:val="0"/>
                <w:i w:val="0"/>
                <w:color w:val="1D1D1B"/>
                <w:sz w:val="22"/>
              </w:rPr>
              <w:t>U ≤ 1,2 W/m²K</w:t>
            </w:r>
          </w:p>
        </w:tc>
      </w:tr>
      <w:tr>
        <w:trPr>
          <w:trHeight w:val="400" w:hRule="atLeast"/>
        </w:trPr>
        <w:tc>
          <w:tcPr>
            <w:tcW w:type="dxa" w:w="3200"/>
            <w:shd w:val="clear" w:color="auto" w:fill="FFFFFF"/>
          </w:tcPr>
          <w:p>
            <w:r/>
            <w:r>
              <w:rPr>
                <w:rFonts w:ascii="Calibri" w:hAnsi="Calibri"/>
                <w:b/>
                <w:i w:val="0"/>
                <w:color w:val="1D1D1B"/>
                <w:sz w:val="22"/>
              </w:rPr>
              <w:t>Vacuümglas</w:t>
            </w:r>
          </w:p>
        </w:tc>
        <w:tc>
          <w:tcPr>
            <w:tcW w:type="dxa" w:w="2913"/>
            <w:shd w:val="clear" w:color="auto" w:fill="FFFFFF"/>
          </w:tcPr>
          <w:p>
            <w:r/>
            <w:r>
              <w:rPr>
                <w:rFonts w:ascii="Calibri" w:hAnsi="Calibri"/>
                <w:b/>
                <w:i w:val="0"/>
                <w:color w:val="1D1D1B"/>
                <w:sz w:val="22"/>
              </w:rPr>
              <w:t>€ 25.00/m²</w:t>
            </w:r>
          </w:p>
        </w:tc>
        <w:tc>
          <w:tcPr>
            <w:tcW w:type="dxa" w:w="2913"/>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Triple glas</w:t>
            </w:r>
          </w:p>
        </w:tc>
        <w:tc>
          <w:tcPr>
            <w:tcW w:type="dxa" w:w="2913"/>
            <w:shd w:val="clear" w:color="auto" w:fill="FFFFFF"/>
          </w:tcPr>
          <w:p>
            <w:r/>
            <w:r>
              <w:rPr>
                <w:rFonts w:ascii="Calibri" w:hAnsi="Calibri"/>
                <w:b/>
                <w:i w:val="0"/>
                <w:color w:val="1D1D1B"/>
                <w:sz w:val="22"/>
              </w:rPr>
              <w:t>€ 111.00/m²</w:t>
            </w:r>
          </w:p>
        </w:tc>
        <w:tc>
          <w:tcPr>
            <w:tcW w:type="dxa" w:w="2913"/>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Isolerende deuren</w:t>
            </w:r>
          </w:p>
        </w:tc>
        <w:tc>
          <w:tcPr>
            <w:tcW w:type="dxa" w:w="2913"/>
            <w:shd w:val="clear" w:color="auto" w:fill="FFFFFF"/>
          </w:tcPr>
          <w:p>
            <w:r/>
            <w:r>
              <w:rPr>
                <w:rFonts w:ascii="Calibri" w:hAnsi="Calibri"/>
                <w:b/>
                <w:i w:val="0"/>
                <w:color w:val="1D1D1B"/>
                <w:sz w:val="22"/>
              </w:rPr>
              <w:t>€ 111.00/m²</w:t>
            </w:r>
          </w:p>
        </w:tc>
        <w:tc>
          <w:tcPr>
            <w:tcW w:type="dxa" w:w="2913"/>
            <w:shd w:val="clear" w:color="auto" w:fill="FFFFFF"/>
          </w:tcPr>
          <w:p>
            <w:r/>
            <w:r>
              <w:rPr>
                <w:rFonts w:ascii="Calibri" w:hAnsi="Calibri"/>
                <w:b w:val="0"/>
                <w:i w:val="0"/>
                <w:color w:val="1D1D1B"/>
                <w:sz w:val="22"/>
              </w:rPr>
              <w:t>U ≤ 1,0 W/m²K</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Combinatie</w:t>
            </w:r>
          </w:p>
        </w:tc>
        <w:tc>
          <w:tcPr>
            <w:tcW w:w="1942" w:type="dxa"/>
            <w:shd w:val="clear" w:color="auto" w:fill="5AAA00"/>
          </w:tcPr>
          <w:p>
            <w:r/>
            <w:r>
              <w:rPr>
                <w:rFonts w:ascii="Calibri" w:hAnsi="Calibri"/>
                <w:b/>
                <w:i w:val="0"/>
                <w:color w:val="FFFFFF"/>
                <w:sz w:val="22"/>
              </w:rPr>
              <w:t>Startbedrag</w:t>
            </w:r>
          </w:p>
        </w:tc>
        <w:tc>
          <w:tcPr>
            <w:tcW w:w="1942" w:type="dxa"/>
            <w:shd w:val="clear" w:color="auto" w:fill="5AAA00"/>
          </w:tcPr>
          <w:p>
            <w:r/>
            <w:r>
              <w:rPr>
                <w:rFonts w:ascii="Calibri" w:hAnsi="Calibri"/>
                <w:b/>
                <w:i w:val="0"/>
                <w:color w:val="FFFFFF"/>
                <w:sz w:val="22"/>
              </w:rPr>
              <w:t>Per kW vermogen</w:t>
            </w:r>
          </w:p>
        </w:tc>
        <w:tc>
          <w:tcPr>
            <w:tcW w:w="1942" w:type="dxa"/>
            <w:shd w:val="clear" w:color="auto" w:fill="5AAA00"/>
          </w:tcPr>
          <w:p>
            <w:r/>
            <w:r>
              <w:rPr>
                <w:rFonts w:ascii="Calibri" w:hAnsi="Calibri"/>
                <w:b/>
                <w:i w:val="0"/>
                <w:color w:val="FFFFFF"/>
                <w:sz w:val="22"/>
              </w:rPr>
              <w:t>A+++ bonus</w:t>
            </w:r>
          </w:p>
        </w:tc>
      </w:tr>
      <w:tr>
        <w:trPr>
          <w:trHeight w:val="400" w:hRule="atLeast"/>
        </w:trPr>
        <w:tc>
          <w:tcPr>
            <w:tcW w:w="3200" w:type="dxa"/>
            <w:shd w:val="clear" w:color="auto" w:fill="FFFFFF"/>
          </w:tcPr>
          <w:p>
            <w:r/>
            <w:r>
              <w:rPr>
                <w:rFonts w:ascii="Calibri" w:hAnsi="Calibri"/>
                <w:b/>
                <w:i w:val="0"/>
                <w:color w:val="2E7D32"/>
                <w:sz w:val="22"/>
              </w:rPr>
              <w:t>Isolatie + warmtepomp</w:t>
            </w:r>
          </w:p>
        </w:tc>
        <w:tc>
          <w:tcPr>
            <w:tcW w:w="1942" w:type="dxa"/>
            <w:shd w:val="clear" w:color="auto" w:fill="FFFFFF"/>
          </w:tcPr>
          <w:p>
            <w:r/>
            <w:r>
              <w:rPr>
                <w:rFonts w:ascii="Calibri" w:hAnsi="Calibri"/>
                <w:b w:val="0"/>
                <w:i w:val="0"/>
                <w:color w:val="2E7D32"/>
                <w:sz w:val="22"/>
              </w:rPr>
              <w:t>€ 1,025</w:t>
            </w:r>
          </w:p>
        </w:tc>
        <w:tc>
          <w:tcPr>
            <w:tcW w:w="1942" w:type="dxa"/>
            <w:shd w:val="clear" w:color="auto" w:fill="FFFFFF"/>
          </w:tcPr>
          <w:p>
            <w:r/>
            <w:r>
              <w:rPr>
                <w:rFonts w:ascii="Calibri" w:hAnsi="Calibri"/>
                <w:b w:val="0"/>
                <w:i w:val="0"/>
                <w:color w:val="2E7D32"/>
                <w:sz w:val="22"/>
              </w:rPr>
              <w:t>+ € 225 per kW</w:t>
            </w:r>
          </w:p>
        </w:tc>
        <w:tc>
          <w:tcPr>
            <w:tcW w:w="1942" w:type="dxa"/>
            <w:shd w:val="clear" w:color="auto" w:fill="FFFFFF"/>
          </w:tcPr>
          <w:p>
            <w:r/>
            <w:r>
              <w:rPr>
                <w:rFonts w:ascii="Calibri" w:hAnsi="Calibri"/>
                <w:b w:val="0"/>
                <w:i w:val="0"/>
                <w:color w:val="2E7D32"/>
                <w:sz w:val="22"/>
              </w:rPr>
              <w:t>+ € 200</w:t>
            </w:r>
          </w:p>
        </w:tc>
      </w:tr>
      <w:tr>
        <w:tc>
          <w:tcPr>
            <w:tcW w:w="9026" w:type="dxa"/>
            <w:gridSpan w:val="4"/>
            <w:shd w:val="clear" w:color="auto" w:fill="FFFFFF"/>
          </w:tcPr>
          <w:p>
            <w:r/>
            <w:r>
              <w:rPr>
                <w:rFonts w:ascii="Calibri" w:hAnsi="Calibri"/>
                <w:b w:val="0"/>
                <w:i/>
                <w:color w:val="2E7D32"/>
                <w:sz w:val="22"/>
              </w:rPr>
              <w:t>De schil is al op orde. Doe de 50-graden test om te zien of het afgiftesysteem klaar is voor een warmtepomp.</w:t>
            </w:r>
          </w:p>
        </w:tc>
      </w:tr>
    </w:tbl>
    <w:p/>
    <w:tbl>
      <w:tblPr>
        <w:tblW w:type="auto" w:w="0"/>
        <w:tblLook w:firstColumn="1" w:firstRow="1" w:lastColumn="0" w:lastRow="0" w:noHBand="0" w:noVBand="1" w:val="04A0"/>
      </w:tblPr>
      <w:tblGrid>
        <w:gridCol w:w="9638"/>
      </w:tblGrid>
      <w:tr>
        <w:trPr>
          <w:trHeight w:val="400" w:hRule="atLeast"/>
        </w:trPr>
        <w:tc>
          <w:tcPr>
            <w:tcW w:type="dxa" w:w="9638"/>
            <w:shd w:val="clear" w:color="auto" w:fill="FFFFFF"/>
          </w:tcPr>
          <w:p>
            <w:r/>
            <w:r>
              <w:rPr>
                <w:rFonts w:ascii="Calibri" w:hAnsi="Calibri"/>
                <w:b/>
                <w:i w:val="0"/>
                <w:color w:val="2E7D32"/>
                <w:sz w:val="22"/>
              </w:rPr>
              <w:t>Indicatief ISDE-subsidietotaal voor uw woning: tot €2,423 (enkelvoudig tarief 2026, op basis van geschatte oppervlaktes)</w:t>
            </w:r>
          </w:p>
        </w:tc>
      </w:tr>
      <w:tr>
        <w:trPr>
          <w:trHeight w:val="400" w:hRule="atLeast"/>
        </w:trPr>
        <w:tc>
          <w:tcPr>
            <w:tcW w:type="dxa" w:w="9638"/>
            <w:shd w:val="clear" w:color="auto" w:fill="FFFFFF"/>
          </w:tcPr>
          <w:p>
            <w:r/>
            <w:r>
              <w:rPr>
                <w:rFonts w:ascii="Calibri" w:hAnsi="Calibri"/>
                <w:b w:val="0"/>
                <w:i/>
                <w:sz w:val="22"/>
              </w:rPr>
              <w:t>De getoonde bedragen zijn de basisbedragen (ISDE 2026). Uw subsidiebedrag verdubbelt als u meer dan één isolatiemaatregel uitvoert, of een isolatiemaatregel combineert met een warmtepomp, zonneboiler of aansluiting op een warmtenet. Vraag subsidie aan binnen 24 maanden na de eerste maatregel. Subsidie verdubbelt niet bij combinatie met uitsluitend ventilatie, en de biobased bonus verdubbelt niet bij de tweede maatregel.</w:t>
            </w:r>
          </w:p>
        </w:tc>
      </w:tr>
      <w:tr>
        <w:tc>
          <w:tcPr>
            <w:tcW w:type="dxa" w:w="9638"/>
            <w:shd w:val="clear" w:color="auto" w:fill="FFFFFF"/>
          </w:tcPr>
          <w:p>
            <w:r/>
            <w:r>
              <w:rPr>
                <w:rFonts w:ascii="Calibri" w:hAnsi="Calibri"/>
                <w:b w:val="0"/>
                <w:i/>
                <w:sz w:val="22"/>
              </w:rPr>
              <w:t>Let op: Schil is al redelijk op orde (Rc ≥ 2,5). Prioriteit ligt bij installatietechniek; isolatiesubsidie is hier aanvullend.</w:t>
            </w:r>
          </w:p>
        </w:tc>
      </w:tr>
      <w:tr>
        <w:tc>
          <w:tcPr>
            <w:tcW w:type="dxa" w:w="9638"/>
            <w:shd w:val="clear" w:color="auto" w:fill="FFFFFF"/>
          </w:tcPr>
          <w:p>
            <w:r/>
            <w:r>
              <w:rPr>
                <w:rFonts w:ascii="Calibri" w:hAnsi="Calibri"/>
                <w:b w:val="0"/>
                <w:i w:val="0"/>
                <w:sz w:val="22"/>
              </w:rPr>
              <w:t>• Verdubbeling: de genoemde m²-bedragen gelden bij twee of meer maatregelen (of één isolatiemaatregel gecombineerd met een warmtepomp). Bij slechts één maatregel wordt het bedrag gehalveerd.</w:t>
            </w:r>
          </w:p>
        </w:tc>
      </w:tr>
      <w:tr>
        <w:tc>
          <w:tcPr>
            <w:tcW w:type="dxa" w:w="9638"/>
            <w:shd w:val="clear" w:color="auto" w:fill="FFFFFF"/>
          </w:tcPr>
          <w:p>
            <w:r/>
            <w:r>
              <w:rPr>
                <w:rFonts w:ascii="Calibri" w:hAnsi="Calibri"/>
                <w:b w:val="0"/>
                <w:i w:val="0"/>
                <w:sz w:val="22"/>
              </w:rPr>
              <w:t>• Beperkingen: u ontvangt slechts subsidie voor één type vloerisolatie (bodem óf vloer) en één type dakisolatie (dak óf zoldervloer).</w:t>
            </w:r>
          </w:p>
        </w:tc>
      </w:tr>
      <w:tr>
        <w:tc>
          <w:tcPr>
            <w:tcW w:type="dxa" w:w="9638"/>
            <w:shd w:val="clear" w:color="auto" w:fill="FFFFFF"/>
          </w:tcPr>
          <w:p>
            <w:r/>
            <w:r>
              <w:rPr>
                <w:rFonts w:ascii="Calibri" w:hAnsi="Calibri"/>
                <w:b w:val="0"/>
                <w:i w:val="0"/>
                <w:sz w:val="22"/>
              </w:rP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pPr>
        <w:spacing w:before="0" w:after="0"/>
      </w:pPr>
      <w:r>
        <w:br w:type="page"/>
      </w:r>
    </w:p>
    <w:tbl>
      <w:tblPr>
        <w:tblW w:w="5000" w:type="pct"/>
        <w:tblBorders>
          <w:top w:val="none"/>
          <w:left w:val="none"/>
          <w:bottom w:val="none"/>
          <w:right w:val="none"/>
          <w:insideH w:val="none"/>
          <w:insideV w:val="none"/>
        </w:tblBorders>
      </w:tblPr>
      <w:tblGrid>
        <w:gridCol w:w="9026"/>
      </w:tblGrid>
      <w:tr>
        <w:trPr>
          <w:trHeight w:val="1100" w:hRule="atLeast"/>
        </w:trPr>
        <w:tc>
          <w:tcPr>
            <w:tcW w:w="5000" w:type="pct"/>
            <w:shd w:val="clear" w:color="auto" w:fill="1A1A1A"/>
            <w:tcMar>
              <w:top w:w="220" w:type="dxa"/>
              <w:left w:w="320" w:type="dxa"/>
              <w:bottom w:w="220" w:type="dxa"/>
              <w:right w:w="320" w:type="dxa"/>
            </w:tcMar>
          </w:tcPr>
          <w:p>
            <w:pPr>
              <w:spacing w:before="0" w:after="60"/>
              <w:shd w:val="clear" w:color="auto" w:fill="1A1A1A"/>
            </w:pPr>
            <w:r>
              <w:rPr>
                <w:b/>
                <w:rFonts w:ascii="Calibri" w:hAnsi="Calibri" w:cs="Calibri"/>
                <w:sz w:val="44"/>
                <w:szCs w:val="44"/>
                <w:color w:val="FFFFFF"/>
              </w:rPr>
              <w:t xml:space="preserve">Pand</w:t>
            </w:r>
            <w:r>
              <w:rPr>
                <w:b/>
                <w:rFonts w:ascii="Calibri" w:hAnsi="Calibri" w:cs="Calibri"/>
                <w:sz w:val="44"/>
                <w:szCs w:val="44"/>
                <w:color w:val="5AAA00"/>
              </w:rPr>
              <w:t xml:space="preserve">IQ</w:t>
            </w:r>
          </w:p>
          <w:p>
            <w:pPr>
              <w:spacing w:before="0" w:after="0"/>
              <w:shd w:val="clear" w:color="auto" w:fill="1A1A1A"/>
            </w:pPr>
            <w:r>
              <w:rPr>
                <w:b/>
                <w:rFonts w:ascii="Calibri" w:hAnsi="Calibri" w:cs="Calibri"/>
                <w:sz w:val="16"/>
                <w:szCs w:val="16"/>
                <w:color w:val="5AAA00"/>
              </w:rPr>
              <w:t xml:space="preserve">WONEN</w:t>
            </w:r>
          </w:p>
        </w:tc>
      </w:tr>
    </w:tbl>
    <w:tbl>
      <w:tblPr>
        <w:tblW w:w="5000" w:type="pct"/>
        <w:tblBorders>
          <w:top w:val="none"/>
          <w:left w:val="none"/>
          <w:bottom w:val="none"/>
          <w:right w:val="none"/>
          <w:insideH w:val="none"/>
          <w:insideV w:val="none"/>
        </w:tblBorders>
      </w:tblPr>
      <w:tblGrid>
        <w:gridCol w:w="9026"/>
      </w:tblGrid>
      <w:tr>
        <w:trPr>
          <w:trHeight w:val="80" w:hRule="atLeast"/>
        </w:trPr>
        <w:tc>
          <w:tcPr>
            <w:tcW w:w="5000" w:type="pct"/>
            <w:shd w:val="clear" w:color="auto" w:fill="D4E832"/>
            <w:tcMar>
              <w:top w:w="220" w:type="dxa"/>
              <w:left w:w="320" w:type="dxa"/>
              <w:bottom w:w="220" w:type="dxa"/>
              <w:right w:w="320" w:type="dxa"/>
            </w:tcMar>
          </w:tcPr>
          <w:p>
            <w:pPr>
              <w:spacing w:before="0" w:after="160"/>
              <w:shd w:val="clear" w:color="auto" w:fill="D4E832"/>
            </w:pPr>
          </w:p>
        </w:tc>
      </w:tr>
    </w:tbl>
    <w:p>
      <w:pPr>
        <w:spacing w:before="400" w:after="0"/>
      </w:pPr>
    </w:p>
    <w:p>
      <w:pPr>
        <w:spacing w:before="0" w:after="100"/>
      </w:pPr>
      <w:r>
        <w:rPr>
          <w:b/>
          <w:rFonts w:ascii="Calibri" w:hAnsi="Calibri" w:cs="Calibri"/>
          <w:sz w:val="44"/>
          <w:szCs w:val="44"/>
          <w:color w:val="1A1A1A"/>
        </w:rPr>
        <w:t xml:space="preserve">Uw regisseur in verduurzaming</w:t>
      </w:r>
    </w:p>
    <w:p>
      <w:pPr>
        <w:spacing w:before="0" w:after="200"/>
      </w:pPr>
      <w:r>
        <w:rPr>
          <w:rFonts w:ascii="Calibri" w:hAnsi="Calibri" w:cs="Calibri"/>
          <w:sz w:val="22"/>
          <w:szCs w:val="22"/>
          <w:color w:val="333333"/>
        </w:rPr>
        <w:t xml:space="preserve">Met de juiste keuzes haalt u meer uit uw woning en uw budget. Door maatregelen slim te combineren kan uw subsidie zelfs verdubbelen.</w:t>
      </w:r>
    </w:p>
    <w:tbl>
      <w:tblPr>
        <w:tblW w:w="5000" w:type="pct"/>
        <w:tblBorders>
          <w:top w:val="none"/>
          <w:left w:val="none"/>
          <w:bottom w:val="none"/>
          <w:right w:val="none"/>
          <w:insideH w:val="none"/>
          <w:insideV w:val="none"/>
        </w:tblBorders>
      </w:tblPr>
      <w:tblGrid>
        <w:gridCol w:w="9026"/>
      </w:tblGrid>
      <w:tr>
        <w:trPr>
          <w:trHeight w:val="400" w:hRule="atLeast"/>
        </w:trPr>
        <w:tc>
          <w:tcPr>
            <w:tcW w:w="5000" w:type="pct"/>
            <w:shd w:val="clear" w:color="auto" w:fill="EEF6E0"/>
            <w:tcMar>
              <w:top w:w="220" w:type="dxa"/>
              <w:left w:w="320" w:type="dxa"/>
              <w:bottom w:w="220" w:type="dxa"/>
              <w:right w:w="320" w:type="dxa"/>
            </w:tcMar>
          </w:tcPr>
          <w:p>
            <w:pPr>
              <w:spacing w:before="0" w:after="0"/>
              <w:shd w:val="clear" w:color="auto" w:fill="EEF6E0"/>
            </w:pPr>
            <w:r>
              <w:rPr>
                <w:rFonts w:ascii="Calibri" w:hAnsi="Calibri" w:cs="Calibri"/>
                <w:sz w:val="22"/>
                <w:szCs w:val="22"/>
                <w:color w:val="1A4A00"/>
              </w:rPr>
              <w:t xml:space="preserve">PandIQ geeft u overzicht en helpt u met het inschatten van bouwkosten, het aanvragen van offertes, subsidieaanvragen en andere besparingen — alles in één dashboard.</w:t>
            </w:r>
          </w:p>
        </w:tc>
      </w:tr>
    </w:tbl>
    <w:p>
      <w:pPr>
        <w:spacing w:before="200" w:after="0"/>
      </w:pPr>
    </w:p>
    <w:p>
      <w:pPr>
        <w:spacing w:before="0" w:after="160"/>
      </w:pPr>
      <w:r>
        <w:rPr>
          <w:rFonts w:ascii="Calibri" w:hAnsi="Calibri" w:cs="Calibri"/>
          <w:sz w:val="22"/>
          <w:szCs w:val="22"/>
          <w:color w:val="333333"/>
        </w:rPr>
        <w:t xml:space="preserve">Maak een account aan en ontdek wat er mogelijk is. Het kost weinig moeite en levert vaak direct voordeel op.</w:t>
      </w:r>
    </w:p>
    <w:p>
      <w:pPr>
        <w:spacing w:before="80" w:after="280"/>
      </w:pPr>
      <w:r>
        <w:rPr>
          <w:b/>
          <w:rFonts w:ascii="Calibri" w:hAnsi="Calibri" w:cs="Calibri"/>
          <w:sz w:val="26"/>
          <w:szCs w:val="26"/>
          <w:color w:val="5AAA00"/>
        </w:rPr>
        <w:t xml:space="preserve">Word geen slapende betaler, maar wees slim en bespaar.</w:t>
      </w:r>
    </w:p>
    <w:tbl>
      <w:tblPr>
        <w:tblW w:w="5000" w:type="pct"/>
        <w:tblBorders>
          <w:top w:val="none"/>
          <w:left w:val="none"/>
          <w:bottom w:val="none"/>
          <w:right w:val="none"/>
          <w:insideH w:val="none"/>
          <w:insideV w:val="none"/>
        </w:tblBorders>
      </w:tblPr>
      <w:tblGrid>
        <w:gridCol w:w="9026"/>
      </w:tblGrid>
      <w:tr>
        <w:trPr>
          <w:trHeight w:val="480" w:hRule="atLeast"/>
        </w:trPr>
        <w:tc>
          <w:tcPr>
            <w:tcW w:w="5000" w:type="pct"/>
            <w:shd w:val="clear" w:color="auto" w:fill="D4E832"/>
            <w:tcMar>
              <w:top w:w="180" w:type="dxa"/>
              <w:left w:w="320" w:type="dxa"/>
              <w:bottom w:w="180" w:type="dxa"/>
              <w:right w:w="320" w:type="dxa"/>
            </w:tcMar>
          </w:tcPr>
          <w:p>
            <w:pPr>
              <w:spacing w:before="0" w:after="0"/>
              <w:shd w:val="clear" w:color="auto" w:fill="D4E832"/>
            </w:pPr>
            <w:r>
              <w:rPr>
                <w:b/>
                <w:rFonts w:ascii="Calibri" w:hAnsi="Calibri" w:cs="Calibri"/>
                <w:sz w:val="22"/>
                <w:szCs w:val="22"/>
                <w:color w:val="1A1A1A"/>
              </w:rPr>
              <w:t xml:space="preserve">Ontdek welke installatie-upgrade het meeste oplevert voor uw woning</w:t>
            </w:r>
            <w:r>
              <w:rPr>
                <w:b/>
                <w:rFonts w:ascii="Calibri" w:hAnsi="Calibri" w:cs="Calibri"/>
                <w:sz w:val="24"/>
                <w:szCs w:val="24"/>
                <w:color w:val="1A1A1A"/>
              </w:rPr>
              <w:t xml:space="preserve">  →</w:t>
            </w:r>
          </w:p>
          <w:p>
            <w:pPr>
              <w:spacing w:before="0" w:after="0"/>
              <w:shd w:val="clear" w:color="auto" w:fill="D4E832"/>
            </w:pPr>
            <w:r>
              <w:rPr>
                <w:rFonts w:ascii="Calibri" w:hAnsi="Calibri" w:cs="Calibri"/>
                <w:sz w:val="18"/>
                <w:szCs w:val="18"/>
                <w:color w:val="333333"/>
              </w:rPr>
              <w:t xml:space="preserve">https://www.pandiq.nl/warmtepomp</w:t>
            </w:r>
          </w:p>
        </w:tc>
      </w:tr>
    </w:tbl>
    <w:p>
      <w:pPr>
        <w:spacing w:before="480" w:after="0"/>
      </w:pPr>
    </w:p>
    <w:p>
      <w:pPr>
        <w:spacing w:before="0" w:after="0"/>
      </w:pPr>
      <w:r>
        <w:rPr>
          <w:i/>
          <w:rFonts w:ascii="Calibri" w:hAnsi="Calibri" w:cs="Calibri"/>
          <w:sz w:val="18"/>
          <w:szCs w:val="18"/>
          <w:color w:val="999999"/>
        </w:rPr>
        <w:t xml:space="preserve">Disclaimer: dit rapport is indicatief en gebaseerd op registraties en aannames. Aan dit document kunnen geen rechten worden ontleend. Uitvoering vereist altijd verificatie op locatie en controle van actuele regelgeving.</w:t>
      </w:r>
    </w:p>
    <w:sectPr w:rsidR="0072010A">
      <w:headerReference w:type="default" r:id="rId10"/>
      <w:footerReference w:type="default" r:id="rId11"/>
      <w:headerReference w:type="first" r:id="rId14"/>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BFAF3" w14:textId="77777777" w:rsidR="005D45C7" w:rsidRDefault="005D45C7">
      <w:r>
        <w:separator/>
      </w:r>
    </w:p>
  </w:endnote>
  <w:endnote w:type="continuationSeparator" w:id="0">
    <w:p w14:paraId="06B16ED1" w14:textId="77777777" w:rsidR="005D45C7" w:rsidRDefault="005D4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Indicatief rapport · PandIQ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F9CC4" w14:textId="77777777" w:rsidR="005D45C7" w:rsidRDefault="005D45C7">
      <w:r>
        <w:separator/>
      </w:r>
    </w:p>
  </w:footnote>
  <w:footnote w:type="continuationSeparator" w:id="0">
    <w:p w14:paraId="50B89E44" w14:textId="77777777" w:rsidR="005D45C7" w:rsidRDefault="005D4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right w:val="none" w:sz="0" w:space="0" w:color="FFFFFF"/>
        <w:insideH w:val="none" w:sz="0" w:space="0" w:color="FFFFFF"/>
        <w:insideV w:val="none" w:sz="0" w:space="0" w:color="FFFFFF"/>
        <w:bottom w:val="single" w:sz="6" w:space="0" w:color="D4E832"/>
      </w:tblBorders>
      <w:tblCellMar>
        <w:left w:w="10" w:type="dxa"/>
        <w:right w:w="10" w:type="dxa"/>
      </w:tblCellMar>
    </w:tblPr>
    <w:tblGrid>
      <w:gridCol w:w="4513"/>
      <w:gridCol w:w="4513"/>
    </w:tblGrid>
    <w:tr>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pPr>
          <w:r>
            <w:rPr>
              <w:b/>
              <w:rFonts w:ascii="Calibri" w:hAnsi="Calibri" w:cs="Calibri"/>
              <w:sz w:val="28"/>
              <w:szCs w:val="28"/>
              <w:color w:val="1A1A1A"/>
            </w:rPr>
            <w:t xml:space="preserve">Pand</w:t>
          </w:r>
          <w:r>
            <w:rPr>
              <w:b/>
              <w:rFonts w:ascii="Calibri" w:hAnsi="Calibri" w:cs="Calibri"/>
              <w:sz w:val="28"/>
              <w:szCs w:val="28"/>
              <w:color w:val="5AAA00"/>
            </w:rPr>
            <w:t xml:space="preserve">IQ</w:t>
          </w:r>
          <w:r>
            <w:rPr>
              <w:rFonts w:ascii="Calibri" w:hAnsi="Calibri" w:cs="Calibri"/>
              <w:sz w:val="18"/>
              <w:szCs w:val="18"/>
              <w:color w:val="5AAA00"/>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jc w:val="right"/>
          </w:pPr>
          <w:r>
            <w:rPr>
              <w:rFonts w:ascii="Calibri" w:hAnsi="Calibri" w:cs="Calibri"/>
              <w:sz w:val="18"/>
              <w:szCs w:val="18"/>
              <w:color w:val="666666"/>
            </w:rPr>
            <w:t xml:space="preserve">Isolatie Quickscan</w:t>
          </w:r>
        </w:p>
      </w:tc>
    </w:tr>
  </w:tbl>
  <w:p>
    <w:pPr>
      <w:spacing w:before="60" w:after="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2DAD"/>
    <w:rsid w:val="001B3D68"/>
    <w:rsid w:val="001C4D44"/>
    <w:rsid w:val="001D0978"/>
    <w:rsid w:val="00200AE4"/>
    <w:rsid w:val="00203A55"/>
    <w:rsid w:val="002821A9"/>
    <w:rsid w:val="00332452"/>
    <w:rsid w:val="003358E5"/>
    <w:rsid w:val="0034353F"/>
    <w:rsid w:val="00365966"/>
    <w:rsid w:val="00366BF9"/>
    <w:rsid w:val="003813AC"/>
    <w:rsid w:val="003B162E"/>
    <w:rsid w:val="00417946"/>
    <w:rsid w:val="0042585B"/>
    <w:rsid w:val="0042600F"/>
    <w:rsid w:val="00426C20"/>
    <w:rsid w:val="00440953"/>
    <w:rsid w:val="00482D26"/>
    <w:rsid w:val="004D0878"/>
    <w:rsid w:val="004D256F"/>
    <w:rsid w:val="004F5903"/>
    <w:rsid w:val="004F7575"/>
    <w:rsid w:val="005067D6"/>
    <w:rsid w:val="00526555"/>
    <w:rsid w:val="005411F6"/>
    <w:rsid w:val="00574344"/>
    <w:rsid w:val="00576084"/>
    <w:rsid w:val="00590594"/>
    <w:rsid w:val="00596724"/>
    <w:rsid w:val="005A7760"/>
    <w:rsid w:val="005C625F"/>
    <w:rsid w:val="005D45C7"/>
    <w:rsid w:val="00610147"/>
    <w:rsid w:val="00624423"/>
    <w:rsid w:val="00632F02"/>
    <w:rsid w:val="0064326E"/>
    <w:rsid w:val="0068671D"/>
    <w:rsid w:val="006A7AD0"/>
    <w:rsid w:val="00716768"/>
    <w:rsid w:val="0072010A"/>
    <w:rsid w:val="00721FA8"/>
    <w:rsid w:val="007A64CB"/>
    <w:rsid w:val="007F1396"/>
    <w:rsid w:val="00813BD8"/>
    <w:rsid w:val="008152A4"/>
    <w:rsid w:val="00822510"/>
    <w:rsid w:val="00856B11"/>
    <w:rsid w:val="00861B3C"/>
    <w:rsid w:val="00864176"/>
    <w:rsid w:val="008855DA"/>
    <w:rsid w:val="0091286E"/>
    <w:rsid w:val="009212E5"/>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A7596"/>
    <w:rsid w:val="00DC422D"/>
    <w:rsid w:val="00DD12FD"/>
    <w:rsid w:val="00DE10E6"/>
    <w:rsid w:val="00DE3465"/>
    <w:rsid w:val="00E2056A"/>
    <w:rsid w:val="00E21A44"/>
    <w:rsid w:val="00E33736"/>
    <w:rsid w:val="00E71661"/>
    <w:rsid w:val="00E944A5"/>
    <w:rsid w:val="00EA4F32"/>
    <w:rsid w:val="00F4351A"/>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513</Words>
  <Characters>3501</Characters>
  <Application>Microsoft Office Word</Application>
  <DocSecurity>0</DocSecurity>
  <Lines>152</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71</cp:revision>
  <dcterms:created xsi:type="dcterms:W3CDTF">2026-03-19T12:48:00Z</dcterms:created>
  <dcterms:modified xsi:type="dcterms:W3CDTF">2026-04-30T12:33:00Z</dcterms:modified>
</cp:coreProperties>
</file>