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one"/>
          <w:left w:val="none"/>
          <w:bottom w:val="none"/>
          <w:right w:val="none"/>
          <w:insideH w:val="none"/>
          <w:insideV w:val="none"/>
        </w:tblBorders>
      </w:tblPr>
      <w:tblGrid>
        <w:gridCol w:w="9026"/>
      </w:tblGrid>
      <w:tr>
        <w:trPr>
          <w:trHeight w:val="1600" w:hRule="atLeast"/>
        </w:trPr>
        <w:tc>
          <w:tcPr>
            <w:tcW w:w="5000" w:type="pct"/>
            <w:shd w:val="clear" w:color="auto" w:fill="1A1A1A"/>
            <w:tcMar>
              <w:top w:w="240" w:type="dxa"/>
              <w:left w:w="360" w:type="dxa"/>
              <w:bottom w:w="240" w:type="dxa"/>
              <w:right w:w="360" w:type="dxa"/>
            </w:tcMar>
          </w:tcPr>
          <w:p>
            <w:pPr>
              <w:spacing w:before="0" w:after="80"/>
              <w:shd w:val="clear" w:color="auto" w:fill="1A1A1A"/>
            </w:pPr>
            <w:r>
              <w:rPr>
                <w:b/>
                <w:rFonts w:ascii="Calibri" w:hAnsi="Calibri" w:cs="Calibri"/>
                <w:sz w:val="60"/>
                <w:szCs w:val="60"/>
                <w:color w:val="FFFFFF"/>
              </w:rPr>
              <w:t xml:space="preserve">Pand</w:t>
            </w:r>
            <w:r>
              <w:rPr>
                <w:b/>
                <w:rFonts w:ascii="Calibri" w:hAnsi="Calibri" w:cs="Calibri"/>
                <w:sz w:val="60"/>
                <w:szCs w:val="60"/>
                <w:color w:val="5AAA00"/>
              </w:rPr>
              <w:t xml:space="preserve">IQ</w:t>
            </w:r>
          </w:p>
          <w:p>
            <w:pPr>
              <w:spacing w:before="0" w:after="0"/>
              <w:shd w:val="clear" w:color="auto" w:fill="1A1A1A"/>
            </w:pPr>
            <w:r>
              <w:rPr>
                <w:b/>
                <w:rFonts w:ascii="Calibri" w:hAnsi="Calibri" w:cs="Calibri"/>
                <w:sz w:val="18"/>
                <w:szCs w:val="18"/>
                <w:color w:val="5AAA00"/>
                <w:spacing w:val="40"/>
              </w:rPr>
              <w:t xml:space="preserve">WONEN</w:t>
            </w:r>
          </w:p>
        </w:tc>
      </w:tr>
    </w:tbl>
    <w:tbl>
      <w:tblPr>
        <w:tblW w:w="5000" w:type="pct"/>
        <w:tblBorders>
          <w:top w:val="none"/>
          <w:left w:val="none"/>
          <w:bottom w:val="none"/>
          <w:right w:val="none"/>
          <w:insideH w:val="none"/>
          <w:insideV w:val="none"/>
        </w:tblBorders>
      </w:tblPr>
      <w:tblGrid>
        <w:gridCol w:w="9026"/>
      </w:tblGrid>
      <w:tr>
        <w:trPr>
          <w:trHeight w:val="100" w:hRule="atLeast"/>
        </w:trPr>
        <w:tc>
          <w:tcPr>
            <w:tcW w:w="5000" w:type="pct"/>
            <w:shd w:val="clear" w:color="auto" w:fill="D4E832"/>
            <w:tcMar>
              <w:top w:w="240" w:type="dxa"/>
              <w:left w:w="360" w:type="dxa"/>
              <w:bottom w:w="240" w:type="dxa"/>
              <w:right w:w="360" w:type="dxa"/>
            </w:tcMar>
          </w:tcPr>
          <w:p>
            <w:pPr>
              <w:spacing w:before="0" w:after="0"/>
              <w:shd w:val="clear" w:color="auto" w:fill="D4E832"/>
            </w:pPr>
          </w:p>
        </w:tc>
      </w:tr>
    </w:tbl>
    <w:p>
      <w:pPr>
        <w:spacing w:before="600" w:after="0"/>
      </w:pPr>
    </w:p>
    <w:p>
      <w:pPr>
        <w:spacing w:before="0" w:after="120"/>
      </w:pPr>
      <w:r>
        <w:rPr>
          <w:b/>
          <w:rFonts w:ascii="Calibri" w:hAnsi="Calibri" w:cs="Calibri"/>
          <w:sz w:val="64"/>
          <w:szCs w:val="64"/>
          <w:color w:val="1A1A1A"/>
        </w:rPr>
        <w:t xml:space="preserve">Isolatie Quickscan</w:t>
      </w:r>
    </w:p>
    <w:p>
      <w:pPr>
        <w:spacing w:before="0" w:after="0"/>
      </w:pPr>
      <w:r>
        <w:rPr>
          <w:rFonts w:ascii="Calibri" w:hAnsi="Calibri" w:cs="Calibri"/>
          <w:sz w:val="26"/>
          <w:szCs w:val="26"/>
          <w:color w:val="666666"/>
        </w:rPr>
        <w:t xml:space="preserve">Energierapport verduurzaming</w:t>
      </w:r>
    </w:p>
    <w:p>
      <w:pPr>
        <w:spacing w:before="640" w:after="0"/>
      </w:pPr>
    </w:p>
    <w:p>
      <w:pPr>
        <w:spacing w:before="0" w:after="80"/>
      </w:pPr>
      <w:r>
        <w:rPr>
          <w:b/>
          <w:rFonts w:ascii="Calibri" w:hAnsi="Calibri" w:cs="Calibri"/>
          <w:sz w:val="28"/>
          <w:szCs w:val="28"/>
          <w:color w:val="1A1A1A"/>
        </w:rPr>
        <w:t xml:space="preserve">Oude Riet 14, 9746PK Groningen</w:t>
      </w:r>
    </w:p>
    <w:p>
      <w:pPr>
        <w:spacing w:before="0" w:after="0"/>
      </w:pPr>
      <w:r>
        <w:rPr>
          <w:rFonts w:ascii="Calibri" w:hAnsi="Calibri" w:cs="Calibri"/>
          <w:sz w:val="22"/>
          <w:szCs w:val="22"/>
          <w:color w:val="666666"/>
        </w:rPr>
        <w:t xml:space="preserve">20 april 2026</w:t>
      </w:r>
    </w:p>
    <w:p>
      <w:pPr>
        <w:spacing w:before="800" w:after="0"/>
      </w:pPr>
    </w:p>
    <w:p>
      <w:pPr>
        <w:spacing w:before="0" w:after="0"/>
      </w:pPr>
      <w:r>
        <w:rPr>
          <w:rFonts w:ascii="Calibri" w:hAnsi="Calibri" w:cs="Calibri"/>
          <w:sz w:val="18"/>
          <w:szCs w:val="18"/>
          <w:color w:val="999999"/>
        </w:rPr>
        <w:t xml:space="preserve">Indicatief rapport op basis van openbare registraties (BAG &amp; EP-Online)</w:t>
      </w:r>
    </w:p>
    <w:p>
      <w:pPr>
        <w:spacing w:before="0" w:after="0"/>
      </w:pPr>
      <w:r>
        <w:br w:type="page"/>
      </w:r>
    </w:p>
    <w:p w14:paraId="0C23B77F" w14:textId="453118D2" w:rsidR="00B346C3" w:rsidRPr="00DC422D" w:rsidRDefault="00B346C3" w:rsidP="00B346C3">
      <w:pPr>
        <w:pStyle w:val="Kop1"/>
        <w:pBdr>
          <w:bottom w:val="single" w:sz="4" w:space="4" w:color="2E6BE6"/>
        </w:pBdr>
        <w:rPr>
          <w:color w:val="5AAA00"/>
        </w:rPr>
      </w:pPr>
      <w:r w:rsidRPr="00DC422D">
        <w:rPr>
          <w:color w:val="5AAA00"/>
        </w:rPr>
        <w:lastRenderedPageBreak/>
        <w:t>Interpretatie en context</w:t>
      </w:r>
    </w:p>
    <w:p w14:paraId="51434200" w14:textId="77777777" w:rsidR="00B346C3" w:rsidRPr="00DC422D" w:rsidRDefault="00B346C3" w:rsidP="00B346C3">
      <w:pPr>
        <w:spacing w:before="160" w:after="80"/>
        <w:rPr>
          <w:color w:val="5AAA00"/>
        </w:rPr>
      </w:pPr>
      <w:r w:rsidRPr="00DC422D">
        <w:rPr>
          <w:b/>
          <w:bCs/>
          <w:color w:val="5AAA00"/>
        </w:rPr>
        <w:t>Gebouwprofiel</w:t>
      </w:r>
    </w:p>
    <w:p w14:paraId="1C47E30D" w14:textId="77777777" w:rsidR="00B346C3" w:rsidRDefault="00B346C3" w:rsidP="00B346C3">
      <w:pPr>
        <w:spacing w:before="60" w:after="160"/>
        <w:rPr>
          <w:color w:val="1A2340"/>
        </w:rPr>
      </w:pPr>
      <w:r>
        <w:rPr>
          <w:color w:val="1A2340"/>
        </w:rPr>
        <w:t xml:space="preserve">Let op: voor uw woning is geen actueel energielabel gevonden in EP-Online. De onderstaande scores zijn indicatief op basis van bouwjaar 2002 en vergelijkbare woningen uit dezelfde periode. Uw woning uit 2002 heeft een redelijke isolatiebasis, maar er zijn gerichte verbeterkansen (gemiddelde score: 3.0/5). De meeste winst zit in gevel (spouwmuurisolatie): indicatieve besparing €185–€250 per jaar. Indicatieve ISDE-subsidie voor de relevante maatregelen: tot €2,984. Bereken uw persoonlijke subsidie en vraag een vrijblijvend adviesgesprek aan via www.pandiq.nl/subsidie.</w:t>
      </w:r>
      <w:proofErr w:type="spellStart"/>
      <w:r>
        <w:rPr>
          <w:color w:val="1A2340"/>
        </w:rPr>
        <w:t/>
      </w:r>
      <w:proofErr w:type="spellEnd"/>
      <w:r>
        <w:rPr>
          <w:color w:val="1A2340"/>
        </w:rPr>
        <w:t/>
      </w:r>
    </w:p>
    <w:p>
      <w:pPr>
        <w:spacing w:before="120" w:after="120"/>
        <w:rPr>
          <w:color w:val="1A2340"/>
        </w:rPr>
      </w:pPr>
    </w:p>
    <w:p>
      <w:pPr>
        <w:spacing w:before="60" w:after="160"/>
        <w:rPr>
          <w:color w:val="1A2340"/>
        </w:rPr>
      </w:pPr>
      <w:r>
        <w:rPr>
          <w:color w:val="1A2340"/>
        </w:rPr>
        <w:t xml:space="preserve">Dit rapport is opgesteld op basis van openbare registraties (BAG en EP-Online) voor Oude Riet 14, 9746PK Groningen. De woning is gebouwd in 2002.</w:t>
      </w:r>
    </w:p>
    <w:p w14:paraId="09706817" w14:textId="77777777" w:rsidR="000D3833" w:rsidRDefault="000D3833" w:rsidP="00B346C3">
      <w:pPr>
        <w:spacing w:before="60" w:after="160"/>
      </w:pPr>
    </w:p>
    <w:p w14:paraId="0CDE3687" w14:textId="77777777" w:rsidR="00B346C3" w:rsidRDefault="00B346C3" w:rsidP="001A4658">
      <w:pPr>
        <w:pBdr>
          <w:bottom w:val="single" w:sz="2" w:space="0" w:color="D0D8EC"/>
        </w:pBdr>
        <w:spacing w:before="160" w:after="160"/>
      </w:pPr>
    </w:p>
    <w:p w14:paraId="43DE937D" w14:textId="77777777" w:rsidR="00B346C3" w:rsidRPr="00DC422D" w:rsidRDefault="00B346C3" w:rsidP="00B346C3">
      <w:pPr>
        <w:spacing w:before="160" w:after="80"/>
        <w:rPr>
          <w:color w:val="5AAA00"/>
        </w:rPr>
      </w:pPr>
      <w:r w:rsidRPr="00DC422D">
        <w:rPr>
          <w:b/>
          <w:bCs/>
          <w:color w:val="5AAA00"/>
        </w:rPr>
        <w:t>Energieprestatie</w:t>
      </w:r>
    </w:p>
    <w:p w14:paraId="49A18587" w14:textId="52D4F140" w:rsidR="00482D26" w:rsidRPr="00D31BA8" w:rsidRDefault="00482D26" w:rsidP="00482D26">
      <w:pPr>
        <w:spacing w:before="60" w:after="160"/>
      </w:pPr>
      <w:r w:rsidRPr="00D31BA8">
        <w:t>De energieprestatie van uw woning wordt onder andere bepaald door twee begrippen: energiebehoefte en warmtebehoefte.</w:t>
      </w:r>
    </w:p>
    <w:p w14:paraId="548C63C9" w14:textId="77777777" w:rsidR="00482D26" w:rsidRPr="00D31BA8" w:rsidRDefault="00482D26" w:rsidP="00482D26">
      <w:pPr>
        <w:spacing w:before="60" w:after="160"/>
      </w:pPr>
      <w:r w:rsidRPr="00D31BA8">
        <w:rPr>
          <w:b/>
          <w:bCs/>
        </w:rPr>
        <w:t>Warmtebehoefte</w:t>
      </w:r>
      <w:r w:rsidRPr="00D31BA8">
        <w:t xml:space="preserve"> geeft aan hoeveel warmte uw woning nodig heeft om comfortabel op temperatuur te blijven. Dit zegt vooral iets over de kwaliteit van de isolatie en de gebouwschil.</w:t>
      </w:r>
    </w:p>
    <w:p w14:paraId="28DCFB66" w14:textId="77777777" w:rsidR="00482D26" w:rsidRPr="00D31BA8" w:rsidRDefault="00482D26" w:rsidP="00482D26">
      <w:pPr>
        <w:spacing w:before="60" w:after="160"/>
      </w:pPr>
      <w:r w:rsidRPr="00D31BA8">
        <w:rPr>
          <w:b/>
          <w:bCs/>
        </w:rPr>
        <w:t>Energiebehoefte</w:t>
      </w:r>
      <w:r w:rsidRPr="00D31BA8">
        <w:t xml:space="preserve"> is breder en omvat het totale energieverbruik van de woning. Dit is dus inclusief verwarming, maar ook warm water en ventilatie.</w:t>
      </w:r>
    </w:p>
    <w:p w14:paraId="40A548AE" w14:textId="1B3E0D93" w:rsidR="00482D26" w:rsidRPr="00482D26" w:rsidRDefault="00482D26" w:rsidP="00482D26">
      <w:pPr>
        <w:spacing w:before="60" w:after="160"/>
        <w:rPr>
          <w:color w:val="1A2340"/>
        </w:rPr>
      </w:pPr>
      <w:r w:rsidRPr="00482D26">
        <w:rPr>
          <w:color w:val="1A2340"/>
        </w:rPr>
        <w:t>Kort gezegd:</w:t>
      </w:r>
    </w:p>
    <w:p w14:paraId="1FE1FFC6" w14:textId="77777777" w:rsidR="00482D26" w:rsidRPr="00482D26" w:rsidRDefault="00482D26" w:rsidP="00482D26">
      <w:pPr>
        <w:numPr>
          <w:ilvl w:val="0"/>
          <w:numId w:val="3"/>
        </w:numPr>
        <w:spacing w:before="60" w:after="160"/>
        <w:rPr>
          <w:color w:val="1A2340"/>
        </w:rPr>
      </w:pPr>
      <w:r w:rsidRPr="00482D26">
        <w:rPr>
          <w:color w:val="1A2340"/>
        </w:rPr>
        <w:t xml:space="preserve">Warmtebehoefte = hoe goed uw woning warmte vasthoudt </w:t>
      </w:r>
    </w:p>
    <w:p w14:paraId="3C1E0A20" w14:textId="77777777" w:rsidR="00482D26" w:rsidRPr="00482D26" w:rsidRDefault="00482D26" w:rsidP="00482D26">
      <w:pPr>
        <w:numPr>
          <w:ilvl w:val="0"/>
          <w:numId w:val="3"/>
        </w:numPr>
        <w:spacing w:before="60" w:after="160"/>
        <w:rPr>
          <w:color w:val="1A2340"/>
        </w:rPr>
      </w:pPr>
      <w:r w:rsidRPr="00482D26">
        <w:rPr>
          <w:color w:val="1A2340"/>
        </w:rPr>
        <w:t>Energiebehoefte = hoeveel energie u totaal nodig heeft</w:t>
      </w:r>
    </w:p>
    <w:p w14:paraId="7C56FC14" w14:textId="4C66CD3C" w:rsidR="00E71661" w:rsidRDefault="001D0978" w:rsidP="00E71661">
      <w:pPr>
        <w:pBdr>
          <w:bottom w:val="single" w:sz="2" w:space="0" w:color="D0D8EC"/>
        </w:pBdr>
        <w:spacing w:before="160" w:after="160"/>
        <w:rPr>
          <w:color w:val="1A2340"/>
        </w:rPr>
      </w:pPr>
      <w:r>
        <w:rPr>
          <w:color w:val="1A2340"/>
        </w:rPr>
        <w:br/>
        <w:t xml:space="preserve">Uw woning:Er zijn geen EP-Online kengetallen beschikbaar voor deze woning. De energieprestatie kan daardoor niet automatisch worden geduid. Een maatwerkadvies geeft hier meer inzicht.</w:t>
      </w:r>
      <w:r w:rsidRPr="001D0978">
        <w:rPr>
          <w:b/>
          <w:bCs/>
          <w:color w:val="1A2340"/>
        </w:rPr>
        <w:t/>
      </w:r>
      <w:r>
        <w:rPr>
          <w:b/>
          <w:bCs/>
          <w:color w:val="1A2340"/>
        </w:rPr>
        <w:t/>
      </w:r>
      <w:r w:rsidR="00482D26">
        <w:rPr>
          <w:color w:val="1A2340"/>
        </w:rPr>
        <w:br/>
      </w:r>
      <w:r w:rsidR="00482D26">
        <w:rPr>
          <w:color w:val="1A2340"/>
        </w:rPr>
        <w:br/>
      </w:r>
      <w:r w:rsidR="00B346C3">
        <w:rPr>
          <w:color w:val="1A2340"/>
        </w:rPr>
        <w:t/>
      </w:r>
      <w:proofErr w:type="spellStart"/>
      <w:r w:rsidR="00B346C3">
        <w:rPr>
          <w:color w:val="1A2340"/>
        </w:rPr>
        <w:t/>
      </w:r>
      <w:proofErr w:type="spellEnd"/>
      <w:r w:rsidR="00B346C3">
        <w:rPr>
          <w:color w:val="1A2340"/>
        </w:rPr>
        <w:t/>
      </w:r>
    </w:p>
    <w:p w14:paraId="056A4AC1" w14:textId="77777777" w:rsidR="00856B11" w:rsidRDefault="00856B11" w:rsidP="00E71661">
      <w:pPr>
        <w:pBdr>
          <w:bottom w:val="single" w:sz="2" w:space="0" w:color="D0D8EC"/>
        </w:pBdr>
        <w:spacing w:before="160" w:after="160"/>
      </w:pPr>
    </w:p>
    <w:p w14:paraId="67735812" w14:textId="30117A9C" w:rsidR="004F5903" w:rsidRPr="00DC422D" w:rsidRDefault="004F5903" w:rsidP="00E71661">
      <w:pPr>
        <w:spacing w:before="60" w:after="160"/>
        <w:rPr>
          <w:b/>
          <w:bCs/>
          <w:color w:val="5AAA00"/>
        </w:rPr>
      </w:pPr>
      <w:r w:rsidRPr="00DC422D">
        <w:rPr>
          <w:b/>
          <w:bCs/>
          <w:color w:val="5AAA00"/>
        </w:rPr>
        <w:t>Basis en totstandkoming van dit rapport</w:t>
      </w:r>
    </w:p>
    <w:p w14:paraId="3D1B82C7" w14:textId="77777777" w:rsidR="00332452" w:rsidRDefault="004F5903" w:rsidP="004F5903">
      <w:pPr>
        <w:spacing w:before="60" w:after="160"/>
        <w:rPr>
          <w:color w:val="1A2340"/>
        </w:rPr>
      </w:pPr>
      <w:r w:rsidRPr="004F5903">
        <w:rPr>
          <w:color w:val="1A2340"/>
        </w:rPr>
        <w:t xml:space="preserve">Dit rapport is automatisch samengesteld op basis van openbare gegevens uit onder andere de Basisregistratie Adressen en Gebouwen (BAG) en EP-online, aangevuld met algemene kennis en praktijkervaring op het gebied van verduurzaming. Op basis hiervan is een inschatting gemaakt van het gebouwprofiel en mogelijke verbeterkansen. </w:t>
      </w:r>
    </w:p>
    <w:p w14:paraId="6DB96B8C" w14:textId="77777777" w:rsidR="001C4D44" w:rsidRDefault="004F5903" w:rsidP="004F5903">
      <w:pPr>
        <w:spacing w:before="60" w:after="160"/>
        <w:rPr>
          <w:color w:val="1A2340"/>
        </w:rPr>
      </w:pPr>
      <w:r w:rsidRPr="004F5903">
        <w:rPr>
          <w:color w:val="1A2340"/>
        </w:rPr>
        <w:t>De informatie is bedoeld als eerste inzicht en kan afwijken van de werkelijke situatie. Wij adviseren om v</w:t>
      </w:r>
      <w:r w:rsidR="001C4D44">
        <w:rPr>
          <w:color w:val="1A2340"/>
        </w:rPr>
        <w:t>oo</w:t>
      </w:r>
      <w:r w:rsidRPr="004F5903">
        <w:rPr>
          <w:color w:val="1A2340"/>
        </w:rPr>
        <w:t xml:space="preserve">r het nemen van beslissingen aanvullend onderzoek te doen. </w:t>
      </w:r>
    </w:p>
    <w:p w14:paraId="4F069FA7" w14:textId="609F5098" w:rsidR="004F5903" w:rsidRPr="004F5903" w:rsidRDefault="004F5903" w:rsidP="004F5903">
      <w:pPr>
        <w:spacing w:before="60" w:after="160"/>
        <w:rPr>
          <w:color w:val="1A2340"/>
        </w:rPr>
      </w:pPr>
      <w:r w:rsidRPr="004F5903">
        <w:rPr>
          <w:color w:val="1A2340"/>
        </w:rPr>
        <w:t>Aan dit rapport kunnen geen rechten worden ontleend</w:t>
      </w:r>
      <w:r w:rsidR="001C4D44">
        <w:rPr>
          <w:color w:val="1A2340"/>
        </w:rPr>
        <w:t>,</w:t>
      </w:r>
      <w:r w:rsidRPr="004F5903">
        <w:rPr>
          <w:color w:val="1A2340"/>
        </w:rPr>
        <w:t xml:space="preserve"> de gegevens kunnen onvolledig of onjuist zijn en </w:t>
      </w:r>
      <w:proofErr w:type="spellStart"/>
      <w:r w:rsidRPr="004F5903">
        <w:rPr>
          <w:color w:val="1A2340"/>
        </w:rPr>
        <w:t>PandIQ</w:t>
      </w:r>
      <w:proofErr w:type="spellEnd"/>
      <w:r w:rsidRPr="004F5903">
        <w:rPr>
          <w:color w:val="1A2340"/>
        </w:rPr>
        <w:t xml:space="preserve"> is niet aansprakelijk voor eventuele fouten of gevolgen van gebruik.</w:t>
      </w:r>
    </w:p>
    <w:p w14:paraId="12EECA49" w14:textId="79294D01" w:rsidR="004F5903" w:rsidRDefault="007A64CB">
      <w:pPr>
        <w:rPr>
          <w:b/>
          <w:bCs/>
          <w:color w:val="0B1F3A"/>
          <w:sz w:val="28"/>
          <w:szCs w:val="28"/>
        </w:rPr>
      </w:pPr>
      <w:r>
        <w:rPr>
          <w:b/>
          <w:bCs/>
          <w:color w:val="0B1F3A"/>
          <w:sz w:val="28"/>
          <w:szCs w:val="28"/>
        </w:rPr>
        <w:br w:type="page"/>
      </w:r>
    </w:p>
    <w:p w14:paraId="3D941061" w14:textId="77777777" w:rsidR="00B346C3" w:rsidRDefault="00B346C3">
      <w:pPr>
        <w:rPr>
          <w:b/>
          <w:bCs/>
          <w:color w:val="0B1F3A"/>
          <w:sz w:val="28"/>
          <w:szCs w:val="28"/>
        </w:rPr>
      </w:pPr>
    </w:p>
    <w:p w14:paraId="6D6ED468" w14:textId="5CED601F" w:rsidR="0072010A" w:rsidRPr="00DD12FD" w:rsidRDefault="00B346C3">
      <w:pPr>
        <w:pStyle w:val="Kop1"/>
        <w:pBdr>
          <w:bottom w:val="single" w:sz="4" w:space="4" w:color="2E6BE6"/>
        </w:pBdr>
        <w:rPr>
          <w:color w:val="2E6BE6"/>
        </w:rPr>
      </w:pPr>
      <w:r w:rsidRPr="00DC422D">
        <w:rPr>
          <w:color w:val="5AAA00"/>
        </w:rPr>
        <w:t>Woninggegevens</w:t>
      </w:r>
    </w:p>
    <w:p w14:paraId="6D6ED469" w14:textId="77777777" w:rsidR="0072010A" w:rsidRPr="00D31BA8" w:rsidRDefault="00B346C3">
      <w:pPr>
        <w:spacing w:before="60" w:after="60"/>
      </w:pPr>
      <w:r w:rsidRPr="00D31BA8">
        <w:t>Onderstaande gegevens zijn afkomstig uit de Basisregistratie Adressen en Gebouwen (BAG) en de landelijke energielabelregistratie EP-Online.</w:t>
      </w:r>
    </w:p>
    <w:p w14:paraId="6D6ED46A" w14:textId="77777777" w:rsidR="0072010A" w:rsidRDefault="0072010A">
      <w:pPr>
        <w:spacing w:before="120" w:after="120"/>
      </w:pPr>
    </w:p>
    <w:tbl>
      <w:tblPr>
        <w:tblW w:w="5245" w:type="dxa"/>
        <w:tblBorders>
          <w:top w:val="single" w:sz="4" w:space="0" w:color="FFFFFF" w:themeColor="background1"/>
          <w:bottom w:val="single" w:sz="4" w:space="0" w:color="FFFFFF" w:themeColor="background1"/>
          <w:insideH w:val="single" w:sz="4" w:space="0" w:color="FFFFFF" w:themeColor="background1"/>
        </w:tblBorders>
        <w:tblCellMar>
          <w:left w:w="10" w:type="dxa"/>
          <w:right w:w="10" w:type="dxa"/>
        </w:tblCellMar>
        <w:tblLook w:val="0000" w:firstRow="0" w:lastRow="0" w:firstColumn="0" w:lastColumn="0" w:noHBand="0" w:noVBand="0"/>
      </w:tblPr>
      <w:tblGrid>
        <w:gridCol w:w="2410"/>
        <w:gridCol w:w="2835"/>
      </w:tblGrid>
      <w:tr>
        <w:tc>
          <w:tcPr>
            <w:gridSpan w:val="2"/>
            <w:shd w:val="clear" w:color="auto" w:fill="5AAA00"/>
          </w:tcPr>
          <w:p>
            <w:r>
              <w:rPr>
                <w:rFonts w:ascii="Calibri" w:hAnsi="Calibri" w:cs="Calibri"/>
                <w:b/>
                <w:color w:val="FFFFFF"/>
                <w:sz w:val="22"/>
                <w:szCs w:val="22"/>
              </w:rPr>
              <w:t>Woninggegevens</w:t>
            </w:r>
          </w:p>
        </w:tc>
      </w:tr>
      <w:tr w:rsidR="0072010A" w14:paraId="6D6ED46D"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6B" w14:textId="77777777" w:rsidR="0072010A" w:rsidRPr="00AF5A6E" w:rsidRDefault="00B346C3">
            <w:r w:rsidRPr="00AF5A6E">
              <w:rPr>
                <w:rFonts w:ascii="Calibri" w:hAnsi="Calibri"/>
                <w:b/>
                <w:bCs/>
                <w:color w:val="1F2937"/>
                <w:sz w:val="22"/>
                <w:szCs w:val="20"/>
              </w:rPr>
              <w:t>Adres</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6C" w14:textId="77777777" w:rsidR="0072010A" w:rsidRDefault="00B346C3">
            <w:r>
              <w:rPr>
                <w:rFonts w:ascii="Calibri" w:hAnsi="Calibri"/>
                <w:b w:val="0"/>
                <w:color w:val="1F2937"/>
                <w:sz w:val="22"/>
              </w:rPr>
              <w:t xml:space="preserve">Oude Riet 14, 9746PK Groningen</w:t>
            </w:r>
          </w:p>
        </w:tc>
      </w:tr>
      <w:tr w:rsidR="0072010A" w14:paraId="6D6ED470"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6E" w14:textId="77777777" w:rsidR="0072010A" w:rsidRPr="00AF5A6E" w:rsidRDefault="00B346C3">
            <w:r w:rsidRPr="00AF5A6E">
              <w:rPr>
                <w:rFonts w:ascii="Calibri" w:hAnsi="Calibri"/>
                <w:b/>
                <w:bCs/>
                <w:color w:val="1F2937"/>
                <w:sz w:val="22"/>
                <w:szCs w:val="20"/>
              </w:rPr>
              <w:t>Datum rapport</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6F" w14:textId="77777777" w:rsidR="0072010A" w:rsidRDefault="00B346C3">
            <w:r>
              <w:rPr>
                <w:rFonts w:ascii="Calibri" w:hAnsi="Calibri"/>
                <w:b w:val="0"/>
                <w:color w:val="1F2937"/>
                <w:sz w:val="22"/>
              </w:rPr>
              <w:t xml:space="preserve">20 april 2026</w:t>
            </w:r>
          </w:p>
        </w:tc>
      </w:tr>
      <w:tr w:rsidR="0072010A" w14:paraId="6D6ED473"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1" w14:textId="77777777" w:rsidR="0072010A" w:rsidRPr="00AF5A6E" w:rsidRDefault="00B346C3">
            <w:r w:rsidRPr="00AF5A6E">
              <w:rPr>
                <w:rFonts w:ascii="Calibri" w:hAnsi="Calibri"/>
                <w:b/>
                <w:bCs/>
                <w:color w:val="1F2937"/>
                <w:sz w:val="22"/>
                <w:szCs w:val="20"/>
              </w:rPr>
              <w:t>Bouwjaar</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2" w14:textId="77777777" w:rsidR="0072010A" w:rsidRDefault="00B346C3">
            <w:r>
              <w:rPr>
                <w:rFonts w:ascii="Calibri" w:hAnsi="Calibri"/>
                <w:b w:val="0"/>
                <w:color w:val="1F2937"/>
                <w:sz w:val="22"/>
              </w:rPr>
              <w:t xml:space="preserve">2002</w:t>
            </w:r>
          </w:p>
        </w:tc>
      </w:tr>
      <w:tr w:rsidR="0072010A" w14:paraId="6D6ED476"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4" w14:textId="77777777" w:rsidR="0072010A" w:rsidRPr="00AF5A6E" w:rsidRDefault="00B346C3">
            <w:r w:rsidRPr="00AF5A6E">
              <w:rPr>
                <w:rFonts w:ascii="Calibri" w:hAnsi="Calibri"/>
                <w:b/>
                <w:bCs/>
                <w:color w:val="1F2937"/>
                <w:sz w:val="22"/>
                <w:szCs w:val="20"/>
              </w:rPr>
              <w:t>Bouwperiode</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5" w14:textId="77777777" w:rsidR="0072010A" w:rsidRDefault="00B346C3">
            <w:r>
              <w:rPr>
                <w:rFonts w:ascii="Calibri" w:hAnsi="Calibri"/>
                <w:b w:val="0"/>
                <w:color w:val="1F2937"/>
                <w:sz w:val="22"/>
              </w:rPr>
              <w:t xml:space="preserve">1992–2005</w:t>
            </w:r>
          </w:p>
        </w:tc>
      </w:tr>
      <w:tr w:rsidR="0072010A" w14:paraId="6D6ED479"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7" w14:textId="77777777" w:rsidR="0072010A" w:rsidRPr="00AF5A6E" w:rsidRDefault="00B346C3">
            <w:r w:rsidRPr="00AF5A6E">
              <w:rPr>
                <w:rFonts w:ascii="Calibri" w:hAnsi="Calibri"/>
                <w:b/>
                <w:bCs/>
                <w:color w:val="1F2937"/>
                <w:sz w:val="22"/>
                <w:szCs w:val="20"/>
              </w:rPr>
              <w:t>Gebruiksoppervlakte</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8" w14:textId="77777777" w:rsidR="0072010A" w:rsidRDefault="00B346C3">
            <w:r>
              <w:rPr>
                <w:rFonts w:ascii="Calibri" w:hAnsi="Calibri"/>
                <w:b w:val="0"/>
                <w:color w:val="1F2937"/>
                <w:sz w:val="22"/>
              </w:rPr>
              <w:t xml:space="preserve">183 m²</w:t>
            </w:r>
          </w:p>
        </w:tc>
      </w:tr>
      <w:tr w:rsidR="0072010A" w14:paraId="6D6ED47C"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A" w14:textId="77777777" w:rsidR="0072010A" w:rsidRPr="00AF5A6E" w:rsidRDefault="00B346C3">
            <w:r w:rsidRPr="00AF5A6E">
              <w:rPr>
                <w:rFonts w:ascii="Calibri" w:hAnsi="Calibri"/>
                <w:b/>
                <w:bCs/>
                <w:color w:val="1F2937"/>
                <w:sz w:val="22"/>
                <w:szCs w:val="20"/>
              </w:rPr>
              <w:t>Energielabel</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B" w14:textId="77777777" w:rsidR="0072010A" w:rsidRDefault="00B346C3">
            <w:r>
              <w:rPr>
                <w:rFonts w:ascii="Calibri" w:hAnsi="Calibri"/>
                <w:b w:val="0"/>
                <w:color w:val="1F2937"/>
                <w:sz w:val="22"/>
              </w:rPr>
              <w:t xml:space="preserve">—</w:t>
            </w:r>
          </w:p>
        </w:tc>
      </w:tr>
      <w:tr w:rsidR="0072010A" w14:paraId="6D6ED47F"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D" w14:textId="77777777" w:rsidR="0072010A" w:rsidRPr="00AF5A6E" w:rsidRDefault="00B346C3">
            <w:r w:rsidRPr="00AF5A6E">
              <w:rPr>
                <w:rFonts w:ascii="Calibri" w:hAnsi="Calibri"/>
                <w:b/>
                <w:bCs/>
                <w:color w:val="1F2937"/>
                <w:sz w:val="22"/>
                <w:szCs w:val="20"/>
              </w:rPr>
              <w:t>Registratiedatum</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E" w14:textId="77777777" w:rsidR="0072010A" w:rsidRDefault="00B346C3">
            <w:r>
              <w:rPr>
                <w:rFonts w:ascii="Calibri" w:hAnsi="Calibri"/>
                <w:b w:val="0"/>
                <w:color w:val="1F2937"/>
                <w:sz w:val="22"/>
              </w:rPr>
              <w:t xml:space="preserve">—</w:t>
            </w:r>
          </w:p>
        </w:tc>
      </w:tr>
      <w:tr w:rsidR="0072010A" w14:paraId="6D6ED482"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80" w14:textId="77777777" w:rsidR="0072010A" w:rsidRPr="00AF5A6E" w:rsidRDefault="00B346C3">
            <w:r w:rsidRPr="00AF5A6E">
              <w:rPr>
                <w:rFonts w:ascii="Calibri" w:hAnsi="Calibri"/>
                <w:b/>
                <w:bCs/>
                <w:color w:val="1F2937"/>
                <w:sz w:val="22"/>
                <w:szCs w:val="20"/>
              </w:rPr>
              <w:t>Geldig tot</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81" w14:textId="77777777" w:rsidR="0072010A" w:rsidRDefault="00B346C3">
            <w:r>
              <w:rPr>
                <w:rFonts w:ascii="Calibri" w:hAnsi="Calibri"/>
                <w:b w:val="0"/>
                <w:color w:val="1F2937"/>
                <w:sz w:val="22"/>
              </w:rPr>
              <w:t xml:space="preserve">—</w:t>
            </w:r>
            <w:proofErr w:type="spellStart"/>
            <w:r>
              <w:rPr>
                <w:rFonts w:ascii="Calibri" w:hAnsi="Calibri"/>
                <w:b w:val="0"/>
                <w:color w:val="1F2937"/>
                <w:sz w:val="22"/>
              </w:rPr>
              <w:t/>
            </w:r>
            <w:proofErr w:type="spellEnd"/>
            <w:r>
              <w:rPr>
                <w:rFonts w:ascii="Calibri" w:hAnsi="Calibri"/>
                <w:b w:val="0"/>
                <w:color w:val="1F2937"/>
                <w:sz w:val="22"/>
              </w:rPr>
              <w:t/>
            </w:r>
          </w:p>
        </w:tc>
      </w:tr>
      <w:tr w:rsidR="0072010A" w14:paraId="6D6ED485"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83" w14:textId="77777777" w:rsidR="0072010A" w:rsidRPr="00AF5A6E" w:rsidRDefault="00B346C3">
            <w:r w:rsidRPr="00AF5A6E">
              <w:rPr>
                <w:rFonts w:ascii="Calibri" w:hAnsi="Calibri"/>
                <w:b/>
                <w:bCs/>
                <w:color w:val="1F2937"/>
                <w:sz w:val="22"/>
                <w:szCs w:val="20"/>
              </w:rPr>
              <w:t>Energiebehoefte</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84" w14:textId="77777777" w:rsidR="0072010A" w:rsidRDefault="00B346C3">
            <w:r>
              <w:rPr>
                <w:rFonts w:ascii="Calibri" w:hAnsi="Calibri"/>
                <w:b w:val="0"/>
                <w:color w:val="1F2937"/>
                <w:sz w:val="22"/>
              </w:rPr>
              <w:t xml:space="preserve">—</w:t>
            </w:r>
          </w:p>
        </w:tc>
      </w:tr>
      <w:tr w:rsidR="0072010A" w14:paraId="6D6ED488"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86" w14:textId="77777777" w:rsidR="0072010A" w:rsidRPr="00AF5A6E" w:rsidRDefault="00B346C3">
            <w:r w:rsidRPr="00AF5A6E">
              <w:rPr>
                <w:rFonts w:ascii="Calibri" w:hAnsi="Calibri"/>
                <w:b/>
                <w:bCs/>
                <w:color w:val="1F2937"/>
                <w:sz w:val="22"/>
                <w:szCs w:val="20"/>
              </w:rPr>
              <w:t>Warmtebehoefte</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87" w14:textId="77777777" w:rsidR="0072010A" w:rsidRDefault="00B346C3">
            <w:r>
              <w:rPr>
                <w:rFonts w:ascii="Calibri" w:hAnsi="Calibri"/>
                <w:b w:val="0"/>
                <w:color w:val="1F2937"/>
                <w:sz w:val="22"/>
              </w:rPr>
              <w:t xml:space="preserve">—</w:t>
            </w:r>
          </w:p>
        </w:tc>
      </w:tr>
      <w:tr w:rsidR="0072010A" w14:paraId="6D6ED48B"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89" w14:textId="77777777" w:rsidR="0072010A" w:rsidRPr="00AF5A6E" w:rsidRDefault="00B346C3">
            <w:r w:rsidRPr="00AF5A6E">
              <w:rPr>
                <w:rFonts w:ascii="Calibri" w:hAnsi="Calibri"/>
                <w:b/>
                <w:bCs/>
                <w:color w:val="1F2937"/>
                <w:sz w:val="22"/>
                <w:szCs w:val="20"/>
              </w:rPr>
              <w:t>Woningtype</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8A" w14:textId="77777777" w:rsidR="0072010A" w:rsidRDefault="00B346C3">
            <w:r>
              <w:rPr>
                <w:rFonts w:ascii="Calibri" w:hAnsi="Calibri"/>
                <w:b w:val="0"/>
                <w:color w:val="1F2937"/>
                <w:sz w:val="22"/>
              </w:rPr>
              <w:t xml:space="preserve">—</w:t>
            </w:r>
          </w:p>
        </w:tc>
      </w:tr>
    </w:tbl>
    <w:p w14:paraId="6D6ED48C" w14:textId="77777777" w:rsidR="0072010A" w:rsidRPr="00CE7620" w:rsidRDefault="0072010A">
      <w:pPr>
        <w:spacing w:before="80"/>
      </w:pPr>
    </w:p>
    <w:p w14:paraId="6D6ED48D" w14:textId="77777777" w:rsidR="0072010A" w:rsidRPr="00CE7620" w:rsidRDefault="00B346C3">
      <w:pPr>
        <w:spacing w:before="60" w:after="60"/>
      </w:pPr>
      <w:r w:rsidRPr="00CE7620">
        <w:rPr>
          <w:i/>
          <w:iCs/>
        </w:rPr>
        <w:t>Bron: Basisregistratie Adressen en Gebouwen (BAG/PDOK) en landelijke energielabelregistratie EP-Online.</w:t>
      </w:r>
    </w:p>
    <w:p w14:paraId="6D6ED48E" w14:textId="77777777" w:rsidR="0072010A" w:rsidRDefault="0072010A">
      <w:pPr>
        <w:spacing w:before="240"/>
      </w:pPr>
    </w:p>
    <w:p w14:paraId="6D6ED48F" w14:textId="77777777" w:rsidR="0072010A" w:rsidRPr="00DC422D" w:rsidRDefault="00B346C3">
      <w:pPr>
        <w:pStyle w:val="Kop1"/>
        <w:pBdr>
          <w:bottom w:val="single" w:sz="4" w:space="4" w:color="2E6BE6"/>
        </w:pBdr>
        <w:rPr>
          <w:color w:val="5AAA00"/>
        </w:rPr>
      </w:pPr>
      <w:r w:rsidRPr="00DC422D">
        <w:rPr>
          <w:color w:val="5AAA00"/>
        </w:rPr>
        <w:t>Kenmerken van deze bouwperiode</w:t>
      </w:r>
    </w:p>
    <w:p w14:paraId="6D6ED490" w14:textId="77777777" w:rsidR="0072010A" w:rsidRDefault="00B346C3">
      <w:pPr>
        <w:spacing w:before="80" w:after="160"/>
      </w:pPr>
      <w:r>
        <w:rPr>
          <w:color w:val="1A2340"/>
        </w:rPr>
        <w:t xml:space="preserve">Uw woning valt onder het Bouwbesluit van 1992, met latere aanscherpingen via de Energieprestatiecoëfficiënt (EPC). De schil is standaard voorzien van dakisolatie, spouwvulling en mechanische ventilatie — een kwalitatief goede basis met Rc 2,5. De focus verschuift hier van basisisolatie naar het optimaliseren van systemen en het dichten van de laatste energielekken.</w:t>
      </w:r>
      <w:proofErr w:type="spellStart"/>
      <w:r>
        <w:rPr>
          <w:color w:val="1A2340"/>
        </w:rPr>
        <w:t/>
      </w:r>
      <w:proofErr w:type="spellEnd"/>
      <w:r>
        <w:rPr>
          <w:color w:val="1A2340"/>
        </w:rPr>
        <w:t/>
      </w:r>
    </w:p>
    <w:p w14:paraId="6D6ED491" w14:textId="77777777" w:rsidR="0072010A" w:rsidRDefault="00B346C3">
      <w:r>
        <w:br w:type="page"/>
      </w:r>
    </w:p>
    <w:p w14:paraId="6D6ED49B" w14:textId="03C03553" w:rsidR="0072010A" w:rsidRDefault="0072010A"/>
    <w:p w14:paraId="6D6ED49C" w14:textId="28FAA4FD" w:rsidR="0072010A" w:rsidRPr="00DC422D" w:rsidRDefault="00B346C3">
      <w:pPr>
        <w:pStyle w:val="Kop1"/>
        <w:pBdr>
          <w:bottom w:val="single" w:sz="4" w:space="4" w:color="2E6BE6"/>
        </w:pBdr>
        <w:rPr>
          <w:color w:val="5AAA00"/>
        </w:rPr>
      </w:pPr>
      <w:r w:rsidRPr="00DC422D">
        <w:rPr>
          <w:color w:val="5AAA00"/>
        </w:rPr>
        <w:t>Kansen en verbeterpotentieel</w:t>
      </w:r>
    </w:p>
    <w:p w14:paraId="6D6ED49D" w14:textId="77777777" w:rsidR="0072010A" w:rsidRPr="0068671D" w:rsidRDefault="00B346C3">
      <w:pPr>
        <w:spacing w:before="60" w:after="60"/>
      </w:pPr>
      <w:r w:rsidRPr="0068671D">
        <w:t>Een lage score betekent niet dat geen actie mogelijk is, maar dat het rendement ten opzichte van de investering doorgaans beperkter is.</w:t>
      </w:r>
    </w:p>
    <w:p w14:paraId="6D6ED49E" w14:textId="77777777" w:rsidR="0072010A" w:rsidRDefault="0072010A">
      <w:pPr>
        <w:spacing w:before="120" w:after="120"/>
      </w:pPr>
    </w:p>
    <w:tbl>
      <w:tblPr>
        <w:tblW w:w="9026"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CellMar>
          <w:left w:w="10" w:type="dxa"/>
          <w:right w:w="10" w:type="dxa"/>
        </w:tblCellMar>
        <w:tblLook w:val="0000" w:firstRow="0" w:lastRow="0" w:firstColumn="0" w:lastColumn="0" w:noHBand="0" w:noVBand="0"/>
      </w:tblPr>
      <w:tblGrid>
        <w:gridCol w:w="2295"/>
        <w:gridCol w:w="1759"/>
        <w:gridCol w:w="4972"/>
      </w:tblGrid>
      <w:tr w:rsidR="0072010A" w14:paraId="6D6ED4A2" w14:textId="77777777" w:rsidTr="00E2056A">
        <w:tc>
          <w:tcPr>
            <w:tcW w:w="2400" w:type="dxa"/>
            <w:shd w:val="clear" w:color="auto" w:fill="5AAA00"/>
            <w:tcMar>
              <w:top w:w="80" w:type="dxa"/>
              <w:left w:w="120" w:type="dxa"/>
              <w:bottom w:w="80" w:type="dxa"/>
              <w:right w:w="120" w:type="dxa"/>
            </w:tcMar>
          </w:tcPr>
          <w:p w14:paraId="6D6ED49F" w14:textId="77777777" w:rsidR="0072010A" w:rsidRPr="0068671D" w:rsidRDefault="00B346C3">
            <w:pPr>
              <w:rPr>
                <w:color w:val="FFFFFF" w:themeColor="background1"/>
              </w:rPr>
            </w:pPr>
            <w:r w:rsidRPr="0068671D">
              <w:rPr>
                <w:b/>
                <w:bCs/>
                <w:color w:val="FFFFFF" w:themeColor="background1"/>
                <w:sz w:val="20"/>
                <w:szCs w:val="20"/>
              </w:rPr>
              <w:t>Onderdeel</w:t>
            </w:r>
          </w:p>
        </w:tc>
        <w:tc>
          <w:tcPr>
            <w:tcW w:w="1400" w:type="dxa"/>
            <w:shd w:val="clear" w:color="auto" w:fill="5AAA00"/>
            <w:tcMar>
              <w:top w:w="80" w:type="dxa"/>
              <w:left w:w="120" w:type="dxa"/>
              <w:bottom w:w="80" w:type="dxa"/>
              <w:right w:w="120" w:type="dxa"/>
            </w:tcMar>
          </w:tcPr>
          <w:p w14:paraId="6D6ED4A0" w14:textId="77777777" w:rsidR="0072010A" w:rsidRPr="0068671D" w:rsidRDefault="00B346C3">
            <w:pPr>
              <w:rPr>
                <w:color w:val="FFFFFF" w:themeColor="background1"/>
              </w:rPr>
            </w:pPr>
            <w:r w:rsidRPr="0068671D">
              <w:rPr>
                <w:b/>
                <w:bCs/>
                <w:color w:val="FFFFFF" w:themeColor="background1"/>
                <w:sz w:val="20"/>
                <w:szCs w:val="20"/>
              </w:rPr>
              <w:t>Score</w:t>
            </w:r>
          </w:p>
        </w:tc>
        <w:tc>
          <w:tcPr>
            <w:tcW w:w="5226" w:type="dxa"/>
            <w:shd w:val="clear" w:color="auto" w:fill="5AAA00"/>
            <w:tcMar>
              <w:top w:w="80" w:type="dxa"/>
              <w:left w:w="120" w:type="dxa"/>
              <w:bottom w:w="80" w:type="dxa"/>
              <w:right w:w="120" w:type="dxa"/>
            </w:tcMar>
          </w:tcPr>
          <w:p w14:paraId="6D6ED4A1" w14:textId="77777777" w:rsidR="0072010A" w:rsidRPr="0068671D" w:rsidRDefault="00B346C3">
            <w:pPr>
              <w:rPr>
                <w:color w:val="FFFFFF" w:themeColor="background1"/>
              </w:rPr>
            </w:pPr>
            <w:r w:rsidRPr="0068671D">
              <w:rPr>
                <w:b/>
                <w:bCs/>
                <w:color w:val="FFFFFF" w:themeColor="background1"/>
                <w:sz w:val="20"/>
                <w:szCs w:val="20"/>
              </w:rPr>
              <w:t>Beoordeling</w:t>
            </w:r>
          </w:p>
        </w:tc>
      </w:tr>
      <w:tr w:rsidR="0072010A" w14:paraId="6D6ED4A6" w14:textId="77777777" w:rsidTr="003B162E">
        <w:tc>
          <w:tcPr>
            <w:tcW w:w="2400" w:type="dxa"/>
            <w:shd w:val="clear" w:color="auto" w:fill="FFFFFF"/>
            <w:tcMar>
              <w:top w:w="80" w:type="dxa"/>
              <w:left w:w="120" w:type="dxa"/>
              <w:bottom w:w="80" w:type="dxa"/>
              <w:right w:w="120" w:type="dxa"/>
            </w:tcMar>
          </w:tcPr>
          <w:p w14:paraId="6D6ED4A3" w14:textId="77777777" w:rsidR="0072010A" w:rsidRDefault="00B346C3">
            <w:r>
              <w:rPr>
                <w:color w:val="1A2340"/>
                <w:sz w:val="20"/>
                <w:szCs w:val="20"/>
              </w:rPr>
              <w:t>Dak</w:t>
            </w:r>
          </w:p>
        </w:tc>
        <w:tc>
          <w:tcPr>
            <w:tcW w:w="1400" w:type="dxa"/>
            <w:shd w:val="clear" w:color="auto" w:fill="FFFFFF"/>
            <w:tcMar>
              <w:top w:w="80" w:type="dxa"/>
              <w:left w:w="120" w:type="dxa"/>
              <w:bottom w:w="80" w:type="dxa"/>
              <w:right w:w="120" w:type="dxa"/>
            </w:tcMar>
          </w:tcPr>
          <w:p w14:paraId="6D6ED4A4" w14:textId="77777777" w:rsidR="0072010A" w:rsidRDefault="00B346C3">
            <w:r>
              <w:rPr>
                <w:color w:val="1A2340"/>
              </w:rPr>
              <w:t xml:space="preserve">3/5</w:t>
            </w:r>
            <w:proofErr w:type="spellStart"/>
            <w:r>
              <w:rPr>
                <w:color w:val="1A2340"/>
              </w:rPr>
              <w:t/>
            </w:r>
            <w:proofErr w:type="spellEnd"/>
            <w:r>
              <w:rPr>
                <w:color w:val="1A2340"/>
              </w:rPr>
              <w:t/>
            </w:r>
            <w:r>
              <w:rPr>
                <w:color w:val="5A6A85"/>
                <w:sz w:val="20"/>
                <w:szCs w:val="20"/>
              </w:rPr>
              <w:t/>
            </w:r>
          </w:p>
        </w:tc>
        <w:tc>
          <w:tcPr>
            <w:tcW w:w="5226" w:type="dxa"/>
            <w:shd w:val="clear" w:color="auto" w:fill="FFFFFF"/>
            <w:tcMar>
              <w:top w:w="80" w:type="dxa"/>
              <w:left w:w="120" w:type="dxa"/>
              <w:bottom w:w="80" w:type="dxa"/>
              <w:right w:w="120" w:type="dxa"/>
            </w:tcMar>
          </w:tcPr>
          <w:p w14:paraId="6D6ED4A5" w14:textId="77777777" w:rsidR="0072010A" w:rsidRDefault="00B346C3">
            <w:r>
              <w:rPr>
                <w:color w:val="1A2340"/>
              </w:rPr>
              <w:t xml:space="preserve">Matig</w:t>
            </w:r>
            <w:proofErr w:type="spellStart"/>
            <w:r>
              <w:rPr>
                <w:color w:val="1A2340"/>
              </w:rPr>
              <w:t/>
            </w:r>
            <w:proofErr w:type="spellEnd"/>
            <w:r>
              <w:rPr>
                <w:color w:val="1A2340"/>
              </w:rPr>
              <w:t/>
            </w:r>
          </w:p>
        </w:tc>
      </w:tr>
      <w:tr w:rsidR="0072010A" w14:paraId="6D6ED4AA" w14:textId="77777777" w:rsidTr="003B162E">
        <w:tc>
          <w:tcPr>
            <w:tcW w:w="2400" w:type="dxa"/>
            <w:shd w:val="clear" w:color="auto" w:fill="FFFFFF"/>
            <w:tcMar>
              <w:top w:w="80" w:type="dxa"/>
              <w:left w:w="120" w:type="dxa"/>
              <w:bottom w:w="80" w:type="dxa"/>
              <w:right w:w="120" w:type="dxa"/>
            </w:tcMar>
          </w:tcPr>
          <w:p w14:paraId="6D6ED4A7" w14:textId="77777777" w:rsidR="0072010A" w:rsidRDefault="00B346C3">
            <w:r>
              <w:rPr>
                <w:color w:val="1A2340"/>
                <w:sz w:val="20"/>
                <w:szCs w:val="20"/>
              </w:rPr>
              <w:t>Gevel</w:t>
            </w:r>
          </w:p>
        </w:tc>
        <w:tc>
          <w:tcPr>
            <w:tcW w:w="1400" w:type="dxa"/>
            <w:shd w:val="clear" w:color="auto" w:fill="FFFFFF"/>
            <w:tcMar>
              <w:top w:w="80" w:type="dxa"/>
              <w:left w:w="120" w:type="dxa"/>
              <w:bottom w:w="80" w:type="dxa"/>
              <w:right w:w="120" w:type="dxa"/>
            </w:tcMar>
          </w:tcPr>
          <w:p w14:paraId="6D6ED4A8" w14:textId="77777777" w:rsidR="0072010A" w:rsidRDefault="00B346C3">
            <w:r>
              <w:rPr>
                <w:color w:val="1A2340"/>
              </w:rPr>
              <w:t xml:space="preserve">3/5</w:t>
            </w:r>
            <w:proofErr w:type="spellStart"/>
            <w:r>
              <w:rPr>
                <w:color w:val="1A2340"/>
              </w:rPr>
              <w:t/>
            </w:r>
            <w:proofErr w:type="spellEnd"/>
            <w:r>
              <w:rPr>
                <w:color w:val="1A2340"/>
              </w:rPr>
              <w:t/>
            </w:r>
            <w:r>
              <w:rPr>
                <w:color w:val="5A6A85"/>
                <w:sz w:val="20"/>
                <w:szCs w:val="20"/>
              </w:rPr>
              <w:t/>
            </w:r>
          </w:p>
        </w:tc>
        <w:tc>
          <w:tcPr>
            <w:tcW w:w="5226" w:type="dxa"/>
            <w:shd w:val="clear" w:color="auto" w:fill="FFFFFF"/>
            <w:tcMar>
              <w:top w:w="80" w:type="dxa"/>
              <w:left w:w="120" w:type="dxa"/>
              <w:bottom w:w="80" w:type="dxa"/>
              <w:right w:w="120" w:type="dxa"/>
            </w:tcMar>
          </w:tcPr>
          <w:p w14:paraId="6D6ED4A9" w14:textId="77777777" w:rsidR="0072010A" w:rsidRDefault="00B346C3">
            <w:r>
              <w:rPr>
                <w:color w:val="1A2340"/>
              </w:rPr>
              <w:t xml:space="preserve">Matig</w:t>
            </w:r>
            <w:proofErr w:type="spellStart"/>
            <w:r>
              <w:rPr>
                <w:color w:val="1A2340"/>
              </w:rPr>
              <w:t/>
            </w:r>
            <w:proofErr w:type="spellEnd"/>
            <w:r>
              <w:rPr>
                <w:color w:val="1A2340"/>
              </w:rPr>
              <w:t/>
            </w:r>
          </w:p>
        </w:tc>
      </w:tr>
      <w:tr w:rsidR="0072010A" w14:paraId="6D6ED4AE" w14:textId="77777777" w:rsidTr="003B162E">
        <w:tc>
          <w:tcPr>
            <w:tcW w:w="2400" w:type="dxa"/>
            <w:shd w:val="clear" w:color="auto" w:fill="FFFFFF"/>
            <w:tcMar>
              <w:top w:w="80" w:type="dxa"/>
              <w:left w:w="120" w:type="dxa"/>
              <w:bottom w:w="80" w:type="dxa"/>
              <w:right w:w="120" w:type="dxa"/>
            </w:tcMar>
          </w:tcPr>
          <w:p w14:paraId="6D6ED4AB" w14:textId="77777777" w:rsidR="0072010A" w:rsidRDefault="00B346C3">
            <w:r>
              <w:rPr>
                <w:color w:val="1A2340"/>
                <w:sz w:val="20"/>
                <w:szCs w:val="20"/>
              </w:rPr>
              <w:t>Vloer</w:t>
            </w:r>
          </w:p>
        </w:tc>
        <w:tc>
          <w:tcPr>
            <w:tcW w:w="1400" w:type="dxa"/>
            <w:shd w:val="clear" w:color="auto" w:fill="FFFFFF"/>
            <w:tcMar>
              <w:top w:w="80" w:type="dxa"/>
              <w:left w:w="120" w:type="dxa"/>
              <w:bottom w:w="80" w:type="dxa"/>
              <w:right w:w="120" w:type="dxa"/>
            </w:tcMar>
          </w:tcPr>
          <w:p w14:paraId="6D6ED4AC" w14:textId="77777777" w:rsidR="0072010A" w:rsidRDefault="00B346C3">
            <w:r>
              <w:rPr>
                <w:color w:val="1A2340"/>
              </w:rPr>
              <w:t xml:space="preserve">3/5</w:t>
            </w:r>
            <w:proofErr w:type="spellStart"/>
            <w:r>
              <w:rPr>
                <w:color w:val="1A2340"/>
              </w:rPr>
              <w:t/>
            </w:r>
            <w:proofErr w:type="spellEnd"/>
            <w:r>
              <w:rPr>
                <w:color w:val="1A2340"/>
              </w:rPr>
              <w:t/>
            </w:r>
            <w:r>
              <w:rPr>
                <w:color w:val="5A6A85"/>
                <w:sz w:val="20"/>
                <w:szCs w:val="20"/>
              </w:rPr>
              <w:t/>
            </w:r>
          </w:p>
        </w:tc>
        <w:tc>
          <w:tcPr>
            <w:tcW w:w="5226" w:type="dxa"/>
            <w:shd w:val="clear" w:color="auto" w:fill="FFFFFF"/>
            <w:tcMar>
              <w:top w:w="80" w:type="dxa"/>
              <w:left w:w="120" w:type="dxa"/>
              <w:bottom w:w="80" w:type="dxa"/>
              <w:right w:w="120" w:type="dxa"/>
            </w:tcMar>
          </w:tcPr>
          <w:p w14:paraId="6D6ED4AD" w14:textId="77777777" w:rsidR="0072010A" w:rsidRDefault="00B346C3">
            <w:r>
              <w:rPr>
                <w:color w:val="1A2340"/>
              </w:rPr>
              <w:t xml:space="preserve">Matig</w:t>
            </w:r>
            <w:proofErr w:type="spellStart"/>
            <w:r>
              <w:rPr>
                <w:color w:val="1A2340"/>
              </w:rPr>
              <w:t/>
            </w:r>
            <w:proofErr w:type="spellEnd"/>
            <w:r>
              <w:rPr>
                <w:color w:val="1A2340"/>
              </w:rPr>
              <w:t/>
            </w:r>
          </w:p>
        </w:tc>
      </w:tr>
      <w:tr w:rsidR="0072010A" w14:paraId="6D6ED4B2" w14:textId="77777777" w:rsidTr="003B162E">
        <w:tc>
          <w:tcPr>
            <w:tcW w:w="2400" w:type="dxa"/>
            <w:shd w:val="clear" w:color="auto" w:fill="FFFFFF"/>
            <w:tcMar>
              <w:top w:w="80" w:type="dxa"/>
              <w:left w:w="120" w:type="dxa"/>
              <w:bottom w:w="80" w:type="dxa"/>
              <w:right w:w="120" w:type="dxa"/>
            </w:tcMar>
          </w:tcPr>
          <w:p w14:paraId="6D6ED4AF" w14:textId="77777777" w:rsidR="0072010A" w:rsidRDefault="00B346C3">
            <w:r>
              <w:rPr>
                <w:color w:val="1A2340"/>
                <w:sz w:val="20"/>
                <w:szCs w:val="20"/>
              </w:rPr>
              <w:t>Glas</w:t>
            </w:r>
          </w:p>
        </w:tc>
        <w:tc>
          <w:tcPr>
            <w:tcW w:w="1400" w:type="dxa"/>
            <w:shd w:val="clear" w:color="auto" w:fill="FFFFFF"/>
            <w:tcMar>
              <w:top w:w="80" w:type="dxa"/>
              <w:left w:w="120" w:type="dxa"/>
              <w:bottom w:w="80" w:type="dxa"/>
              <w:right w:w="120" w:type="dxa"/>
            </w:tcMar>
          </w:tcPr>
          <w:p w14:paraId="6D6ED4B0" w14:textId="77777777" w:rsidR="0072010A" w:rsidRDefault="00B346C3">
            <w:r>
              <w:rPr>
                <w:color w:val="1A2340"/>
              </w:rPr>
              <w:t xml:space="preserve">3/5</w:t>
            </w:r>
            <w:proofErr w:type="spellStart"/>
            <w:r>
              <w:rPr>
                <w:color w:val="1A2340"/>
              </w:rPr>
              <w:t/>
            </w:r>
            <w:proofErr w:type="spellEnd"/>
            <w:r>
              <w:rPr>
                <w:color w:val="1A2340"/>
              </w:rPr>
              <w:t/>
            </w:r>
            <w:r>
              <w:rPr>
                <w:color w:val="5A6A85"/>
                <w:sz w:val="20"/>
                <w:szCs w:val="20"/>
              </w:rPr>
              <w:t/>
            </w:r>
          </w:p>
        </w:tc>
        <w:tc>
          <w:tcPr>
            <w:tcW w:w="5226" w:type="dxa"/>
            <w:shd w:val="clear" w:color="auto" w:fill="FFFFFF"/>
            <w:tcMar>
              <w:top w:w="80" w:type="dxa"/>
              <w:left w:w="120" w:type="dxa"/>
              <w:bottom w:w="80" w:type="dxa"/>
              <w:right w:w="120" w:type="dxa"/>
            </w:tcMar>
          </w:tcPr>
          <w:p w14:paraId="6D6ED4B1" w14:textId="77777777" w:rsidR="0072010A" w:rsidRDefault="00B346C3">
            <w:r>
              <w:rPr>
                <w:color w:val="1A2340"/>
              </w:rPr>
              <w:t xml:space="preserve">Matig</w:t>
            </w:r>
            <w:proofErr w:type="spellStart"/>
            <w:r>
              <w:rPr>
                <w:color w:val="1A2340"/>
              </w:rPr>
              <w:t/>
            </w:r>
            <w:proofErr w:type="spellEnd"/>
            <w:r>
              <w:rPr>
                <w:color w:val="1A2340"/>
              </w:rPr>
              <w:t/>
            </w:r>
          </w:p>
        </w:tc>
      </w:tr>
    </w:tbl>
    <w:p w14:paraId="6D6ED4B3" w14:textId="77777777" w:rsidR="0072010A" w:rsidRDefault="0072010A">
      <w:pPr>
        <w:spacing w:before="240"/>
      </w:pPr>
    </w:p>
    <w:p w14:paraId="67DA02C5" w14:textId="77777777" w:rsidR="00B50E04" w:rsidRDefault="00B50E04">
      <w:pPr>
        <w:spacing w:before="240"/>
      </w:pPr>
    </w:p>
    <w:p w14:paraId="2145B27C" w14:textId="77777777" w:rsidR="00B50E04" w:rsidRDefault="00B50E04" w:rsidP="00B50E04">
      <w:pPr>
        <w:pBdr>
          <w:bottom w:val="single" w:sz="2" w:space="1" w:color="D0D8EC"/>
        </w:pBdr>
        <w:spacing w:before="160" w:after="160"/>
      </w:pPr>
    </w:p>
    <w:p w14:paraId="2228FB7B" w14:textId="77777777" w:rsidR="003813AC" w:rsidRDefault="003813AC">
      <w:pPr>
        <w:rPr>
          <w:b/>
          <w:bCs/>
          <w:color w:val="2E6BE6"/>
        </w:rPr>
      </w:pPr>
      <w:r>
        <w:rPr>
          <w:b/>
          <w:bCs/>
          <w:color w:val="2E6BE6"/>
        </w:rPr>
        <w:br w:type="page"/>
      </w:r>
    </w:p>
    <w:p>
      <w:pPr>
        <w:pStyle w:val="Normal"/>
        <w:spacing w:before="0" w:after="200"/>
      </w:pPr>
      <w:r>
        <w:rPr>
          <w:b/>
          <w:rFonts w:ascii="Calibri" w:hAnsi="Calibri" w:cs="Calibri"/>
          <w:sz w:val="28"/>
          <w:szCs w:val="28"/>
          <w:color w:val="1D1D1B"/>
        </w:rPr>
        <w:t xml:space="preserve">Aanbevolen maatregelen</w:t>
      </w:r>
    </w:p>
    <w:p>
      <w:pPr>
        <w:pStyle w:val="Normal"/>
        <w:spacing w:before="0" w:after="60"/>
      </w:pPr>
      <w:r>
        <w:rPr>
          <w:b/>
          <w:rFonts w:ascii="Calibri" w:hAnsi="Calibri" w:cs="Calibri"/>
          <w:sz w:val="22"/>
          <w:szCs w:val="22"/>
          <w:color w:val="5AAA00"/>
        </w:rPr>
        <w:t xml:space="preserve">1. Gevel  —  score 3/5  —  Gemiddelde prioriteit</w:t>
      </w:r>
    </w:p>
    <w:p>
      <w:pPr>
        <w:pStyle w:val="Normal"/>
        <w:spacing w:before="0" w:after="60"/>
      </w:pPr>
      <w:r>
        <w:rPr>
          <w:rFonts w:ascii="Calibri" w:hAnsi="Calibri" w:cs="Calibri"/>
          <w:sz w:val="22"/>
          <w:szCs w:val="22"/>
          <w:color w:val="1D1D1B"/>
        </w:rPr>
        <w:t xml:space="preserve">Aanbevolen maatregel: Spouwmuurisolatie</w:t>
      </w:r>
    </w:p>
    <w:p>
      <w:pPr>
        <w:pStyle w:val="Normal"/>
        <w:spacing w:before="0" w:after="60"/>
      </w:pPr>
      <w:r>
        <w:rPr>
          <w:rFonts w:ascii="Calibri" w:hAnsi="Calibri" w:cs="Calibri"/>
          <w:sz w:val="22"/>
          <w:szCs w:val="22"/>
          <w:color w:val="666666"/>
        </w:rPr>
        <w:t xml:space="preserve">Geschatte oppervlakte: ca. 92 m²</w:t>
      </w:r>
    </w:p>
    <w:p>
      <w:pPr>
        <w:pStyle w:val="Normal"/>
        <w:spacing w:before="0" w:after="60"/>
      </w:pPr>
      <w:r>
        <w:rPr>
          <w:rFonts w:ascii="Calibri" w:hAnsi="Calibri" w:cs="Calibri"/>
          <w:sz w:val="22"/>
          <w:szCs w:val="22"/>
          <w:color w:val="1D1D1B"/>
        </w:rPr>
        <w:t xml:space="preserve">Indicatieve besparing: €185–€250 per jaar</w:t>
      </w:r>
    </w:p>
    <w:p>
      <w:pPr>
        <w:pStyle w:val="Normal"/>
        <w:spacing w:before="0" w:after="60"/>
      </w:pPr>
      <w:r>
        <w:rPr>
          <w:rFonts w:ascii="Calibri" w:hAnsi="Calibri" w:cs="Calibri"/>
          <w:sz w:val="22"/>
          <w:szCs w:val="22"/>
          <w:color w:val="1D1D1B"/>
        </w:rPr>
        <w:t xml:space="preserve">Indicatieve investering: €1,372–€2,562</w:t>
      </w:r>
    </w:p>
    <w:p>
      <w:pPr>
        <w:pStyle w:val="Normal"/>
        <w:spacing w:before="0" w:after="60"/>
      </w:pPr>
      <w:r>
        <w:rPr>
          <w:rFonts w:ascii="Calibri" w:hAnsi="Calibri" w:cs="Calibri"/>
          <w:sz w:val="22"/>
          <w:szCs w:val="22"/>
          <w:color w:val="2E7D32"/>
        </w:rPr>
        <w:t xml:space="preserve">ISDE-subsidie indicatie: tot €480</w:t>
      </w:r>
    </w:p>
    <w:p>
      <w:pPr>
        <w:pStyle w:val="Normal"/>
        <w:spacing w:before="0" w:after="200"/>
      </w:pPr>
      <w:r>
        <w:rPr>
          <w:rFonts w:ascii="Calibri" w:hAnsi="Calibri" w:cs="Calibri"/>
          <w:sz w:val="22"/>
          <w:szCs w:val="22"/>
          <w:color w:val="1D1D1B"/>
        </w:rPr>
        <w:t xml:space="preserve">Terugverdientijd na subsidie: ca. 4–11 jaar</w:t>
      </w:r>
    </w:p>
    <w:p>
      <w:pPr>
        <w:pStyle w:val="Normal"/>
        <w:spacing w:before="0" w:after="60"/>
      </w:pPr>
      <w:r>
        <w:rPr>
          <w:b/>
          <w:rFonts w:ascii="Calibri" w:hAnsi="Calibri" w:cs="Calibri"/>
          <w:sz w:val="22"/>
          <w:szCs w:val="22"/>
          <w:color w:val="5AAA00"/>
        </w:rPr>
        <w:t xml:space="preserve">2. Glas  —  score 3/5  —  Gemiddelde prioriteit</w:t>
      </w:r>
    </w:p>
    <w:p>
      <w:pPr>
        <w:pStyle w:val="Normal"/>
        <w:spacing w:before="0" w:after="60"/>
      </w:pPr>
      <w:r>
        <w:rPr>
          <w:rFonts w:ascii="Calibri" w:hAnsi="Calibri" w:cs="Calibri"/>
          <w:sz w:val="22"/>
          <w:szCs w:val="22"/>
          <w:color w:val="1D1D1B"/>
        </w:rPr>
        <w:t xml:space="preserve">Aanbevolen maatregel: HR++ dubbelglas</w:t>
      </w:r>
    </w:p>
    <w:p>
      <w:pPr>
        <w:pStyle w:val="Normal"/>
        <w:spacing w:before="0" w:after="60"/>
      </w:pPr>
      <w:r>
        <w:rPr>
          <w:rFonts w:ascii="Calibri" w:hAnsi="Calibri" w:cs="Calibri"/>
          <w:sz w:val="22"/>
          <w:szCs w:val="22"/>
          <w:color w:val="666666"/>
        </w:rPr>
        <w:t xml:space="preserve">Geschatte oppervlakte: ca. 15 m²</w:t>
      </w:r>
    </w:p>
    <w:p>
      <w:pPr>
        <w:pStyle w:val="Normal"/>
        <w:spacing w:before="0" w:after="60"/>
      </w:pPr>
      <w:r>
        <w:rPr>
          <w:rFonts w:ascii="Calibri" w:hAnsi="Calibri" w:cs="Calibri"/>
          <w:sz w:val="22"/>
          <w:szCs w:val="22"/>
          <w:color w:val="1D1D1B"/>
        </w:rPr>
        <w:t xml:space="preserve">Indicatieve besparing: €148–€200 per jaar</w:t>
      </w:r>
    </w:p>
    <w:p>
      <w:pPr>
        <w:pStyle w:val="Normal"/>
        <w:spacing w:before="0" w:after="60"/>
      </w:pPr>
      <w:r>
        <w:rPr>
          <w:rFonts w:ascii="Calibri" w:hAnsi="Calibri" w:cs="Calibri"/>
          <w:sz w:val="22"/>
          <w:szCs w:val="22"/>
          <w:color w:val="1D1D1B"/>
        </w:rPr>
        <w:t xml:space="preserve">Indicatieve investering: €1,168–€1,971</w:t>
      </w:r>
    </w:p>
    <w:p>
      <w:pPr>
        <w:pStyle w:val="Normal"/>
        <w:spacing w:before="0" w:after="60"/>
      </w:pPr>
      <w:r>
        <w:rPr>
          <w:rFonts w:ascii="Calibri" w:hAnsi="Calibri" w:cs="Calibri"/>
          <w:sz w:val="22"/>
          <w:szCs w:val="22"/>
          <w:color w:val="2E7D32"/>
        </w:rPr>
        <w:t xml:space="preserve">ISDE-subsidie indicatie: tot €365</w:t>
      </w:r>
    </w:p>
    <w:p>
      <w:pPr>
        <w:pStyle w:val="Normal"/>
        <w:spacing w:before="0" w:after="200"/>
      </w:pPr>
      <w:r>
        <w:rPr>
          <w:rFonts w:ascii="Calibri" w:hAnsi="Calibri" w:cs="Calibri"/>
          <w:sz w:val="22"/>
          <w:szCs w:val="22"/>
          <w:color w:val="1D1D1B"/>
        </w:rPr>
        <w:t xml:space="preserve">Terugverdientijd na subsidie: ca. 4–11 jaar</w:t>
      </w:r>
    </w:p>
    <w:p>
      <w:pPr>
        <w:pStyle w:val="Normal"/>
        <w:spacing w:before="0" w:after="60"/>
      </w:pPr>
      <w:r>
        <w:rPr>
          <w:b/>
          <w:rFonts w:ascii="Calibri" w:hAnsi="Calibri" w:cs="Calibri"/>
          <w:sz w:val="22"/>
          <w:szCs w:val="22"/>
          <w:color w:val="5AAA00"/>
        </w:rPr>
        <w:t xml:space="preserve">3. Dak  —  score 3/5  —  Gemiddelde prioriteit</w:t>
      </w:r>
    </w:p>
    <w:p>
      <w:pPr>
        <w:pStyle w:val="Normal"/>
        <w:spacing w:before="0" w:after="60"/>
      </w:pPr>
      <w:r>
        <w:rPr>
          <w:rFonts w:ascii="Calibri" w:hAnsi="Calibri" w:cs="Calibri"/>
          <w:sz w:val="22"/>
          <w:szCs w:val="22"/>
          <w:color w:val="1D1D1B"/>
        </w:rPr>
        <w:t xml:space="preserve">Aanbevolen maatregel: Dakisolatie</w:t>
      </w:r>
    </w:p>
    <w:p>
      <w:pPr>
        <w:pStyle w:val="Normal"/>
        <w:spacing w:before="0" w:after="60"/>
      </w:pPr>
      <w:r>
        <w:rPr>
          <w:rFonts w:ascii="Calibri" w:hAnsi="Calibri" w:cs="Calibri"/>
          <w:sz w:val="22"/>
          <w:szCs w:val="22"/>
          <w:color w:val="666666"/>
        </w:rPr>
        <w:t xml:space="preserve">Geschatte oppervlakte: ca. 101 m²</w:t>
      </w:r>
    </w:p>
    <w:p>
      <w:pPr>
        <w:pStyle w:val="Normal"/>
        <w:spacing w:before="0" w:after="60"/>
      </w:pPr>
      <w:r>
        <w:rPr>
          <w:rFonts w:ascii="Calibri" w:hAnsi="Calibri" w:cs="Calibri"/>
          <w:sz w:val="22"/>
          <w:szCs w:val="22"/>
          <w:color w:val="1D1D1B"/>
        </w:rPr>
        <w:t xml:space="preserve">Indicatieve besparing: €133–€180 per jaar</w:t>
      </w:r>
    </w:p>
    <w:p>
      <w:pPr>
        <w:pStyle w:val="Normal"/>
        <w:spacing w:before="0" w:after="60"/>
      </w:pPr>
      <w:r>
        <w:rPr>
          <w:rFonts w:ascii="Calibri" w:hAnsi="Calibri" w:cs="Calibri"/>
          <w:sz w:val="22"/>
          <w:szCs w:val="22"/>
          <w:color w:val="1D1D1B"/>
        </w:rPr>
        <w:t xml:space="preserve">Indicatieve investering: €3,021–€6,546</w:t>
      </w:r>
    </w:p>
    <w:p>
      <w:pPr>
        <w:pStyle w:val="Normal"/>
        <w:spacing w:before="0" w:after="60"/>
      </w:pPr>
      <w:r>
        <w:rPr>
          <w:rFonts w:ascii="Calibri" w:hAnsi="Calibri" w:cs="Calibri"/>
          <w:sz w:val="22"/>
          <w:szCs w:val="22"/>
          <w:color w:val="2E7D32"/>
        </w:rPr>
        <w:t xml:space="preserve">ISDE-subsidie indicatie: tot €1,636</w:t>
      </w:r>
    </w:p>
    <w:p>
      <w:pPr>
        <w:pStyle w:val="Normal"/>
        <w:spacing w:before="0" w:after="200"/>
      </w:pPr>
      <w:r>
        <w:rPr>
          <w:rFonts w:ascii="Calibri" w:hAnsi="Calibri" w:cs="Calibri"/>
          <w:sz w:val="22"/>
          <w:szCs w:val="22"/>
          <w:color w:val="1D1D1B"/>
        </w:rPr>
        <w:t xml:space="preserve">Terugverdientijd na subsidie: ca. 8–37 jaar</w:t>
      </w:r>
    </w:p>
    <w:p>
      <w:pPr>
        <w:pStyle w:val="Normal"/>
        <w:spacing w:before="0" w:after="60"/>
      </w:pPr>
      <w:r>
        <w:rPr>
          <w:b/>
          <w:rFonts w:ascii="Calibri" w:hAnsi="Calibri" w:cs="Calibri"/>
          <w:sz w:val="22"/>
          <w:szCs w:val="22"/>
          <w:color w:val="5AAA00"/>
        </w:rPr>
        <w:t xml:space="preserve">4. Vloer  —  score 3/5  —  Gemiddelde prioriteit</w:t>
      </w:r>
    </w:p>
    <w:p>
      <w:pPr>
        <w:pStyle w:val="Normal"/>
        <w:spacing w:before="0" w:after="60"/>
      </w:pPr>
      <w:r>
        <w:rPr>
          <w:rFonts w:ascii="Calibri" w:hAnsi="Calibri" w:cs="Calibri"/>
          <w:sz w:val="22"/>
          <w:szCs w:val="22"/>
          <w:color w:val="1D1D1B"/>
        </w:rPr>
        <w:t xml:space="preserve">Aanbevolen maatregel: Vloerisolatie</w:t>
      </w:r>
    </w:p>
    <w:p>
      <w:pPr>
        <w:pStyle w:val="Normal"/>
        <w:spacing w:before="0" w:after="60"/>
      </w:pPr>
      <w:r>
        <w:rPr>
          <w:rFonts w:ascii="Calibri" w:hAnsi="Calibri" w:cs="Calibri"/>
          <w:sz w:val="22"/>
          <w:szCs w:val="22"/>
          <w:color w:val="666666"/>
        </w:rPr>
        <w:t xml:space="preserve">Geschatte oppervlakte: ca. 92 m²</w:t>
      </w:r>
    </w:p>
    <w:p>
      <w:pPr>
        <w:pStyle w:val="Normal"/>
        <w:spacing w:before="0" w:after="60"/>
      </w:pPr>
      <w:r>
        <w:rPr>
          <w:rFonts w:ascii="Calibri" w:hAnsi="Calibri" w:cs="Calibri"/>
          <w:sz w:val="22"/>
          <w:szCs w:val="22"/>
          <w:color w:val="1D1D1B"/>
        </w:rPr>
        <w:t xml:space="preserve">Indicatieve besparing: €89–€120 per jaar</w:t>
      </w:r>
    </w:p>
    <w:p>
      <w:pPr>
        <w:pStyle w:val="Normal"/>
        <w:spacing w:before="0" w:after="60"/>
      </w:pPr>
      <w:r>
        <w:rPr>
          <w:rFonts w:ascii="Calibri" w:hAnsi="Calibri" w:cs="Calibri"/>
          <w:sz w:val="22"/>
          <w:szCs w:val="22"/>
          <w:color w:val="1D1D1B"/>
        </w:rPr>
        <w:t xml:space="preserve">Indicatieve investering: €2,288–€5,032</w:t>
      </w:r>
    </w:p>
    <w:p>
      <w:pPr>
        <w:pStyle w:val="Normal"/>
        <w:spacing w:before="0" w:after="60"/>
      </w:pPr>
      <w:r>
        <w:rPr>
          <w:rFonts w:ascii="Calibri" w:hAnsi="Calibri" w:cs="Calibri"/>
          <w:sz w:val="22"/>
          <w:szCs w:val="22"/>
          <w:color w:val="2E7D32"/>
        </w:rPr>
        <w:t xml:space="preserve">ISDE-subsidie indicatie: tot €503</w:t>
      </w:r>
    </w:p>
    <w:p>
      <w:pPr>
        <w:pStyle w:val="Normal"/>
        <w:spacing w:before="0" w:after="160"/>
      </w:pPr>
      <w:r>
        <w:rPr>
          <w:rFonts w:ascii="Calibri" w:hAnsi="Calibri" w:cs="Calibri"/>
          <w:sz w:val="22"/>
          <w:szCs w:val="22"/>
          <w:color w:val="1D1D1B"/>
        </w:rPr>
        <w:t xml:space="preserve">Terugverdientijd na subsidie: ca. 15–51 jaar</w:t>
      </w:r>
    </w:p>
    <w:p>
      <w:pPr>
        <w:pStyle w:val="Normal"/>
        <w:spacing w:before="0" w:after="160"/>
      </w:pPr>
      <w:r>
        <w:rPr>
          <w:rFonts w:ascii="Calibri" w:hAnsi="Calibri" w:cs="Calibri"/>
          <w:sz w:val="22"/>
          <w:szCs w:val="22"/>
          <w:color w:val="999999"/>
        </w:rPr>
        <w:t xml:space="preserve">Financiële indicaties zijn schattingen op basis van bouwjaar en gemiddelde woningkenmerken. Definitieve bedragen hangen af van de werkelijke situatie ter plaatse.</w:t>
      </w:r>
    </w:p>
    <w:p w14:paraId="6D6ED4B4" w14:textId="3311D600" w:rsidR="0072010A" w:rsidRPr="00DC422D" w:rsidRDefault="00B346C3">
      <w:pPr>
        <w:pStyle w:val="Kop1"/>
        <w:pBdr>
          <w:bottom w:val="single" w:sz="4" w:space="4" w:color="2E6BE6"/>
        </w:pBdr>
        <w:rPr>
          <w:color w:val="5AAA00"/>
        </w:rPr>
      </w:pPr>
      <w:r w:rsidRPr="00DC422D">
        <w:rPr>
          <w:color w:val="5AAA00"/>
        </w:rPr>
        <w:lastRenderedPageBreak/>
        <w:t>Aandachtspunten en risico’s</w:t>
      </w:r>
    </w:p>
    <w:p w14:paraId="6D6ED4B5" w14:textId="77777777" w:rsidR="0072010A" w:rsidRDefault="00B346C3">
      <w:pPr>
        <w:spacing w:before="80" w:after="160"/>
      </w:pPr>
      <w:r>
        <w:rPr>
          <w:color w:val="1A2340"/>
        </w:rPr>
        <w:t xml:space="preserve">- Slechte luchtkwaliteit: deze woningen zijn bij oplevering al redelijk luchtdicht. Het verder dichten van kieren zonder het ventilatiesysteem te upgraden leidt direct tot een ongezond binnenklimaat en verhoogde kans op schimmelgroei.</w:t>
      </w:r>
      <w:proofErr w:type="spellStart"/>
      <w:r>
        <w:rPr>
          <w:color w:val="1A2340"/>
        </w:rPr>
        <w:t/>
      </w:r>
      <w:proofErr w:type="spellEnd"/>
      <w:r>
        <w:rPr>
          <w:color w:val="1A2340"/>
        </w:rPr>
        <w:t/>
      </w:r>
    </w:p>
    <w:p>
      <w:pPr>
        <w:spacing w:before="80" w:after="160"/>
      </w:pPr>
      <w:r>
        <w:rPr>
          <w:color w:val="1A2340"/>
        </w:rPr>
        <w:t xml:space="preserve">- Vervuilde ventilatie: de mechanische afzuiging is vaak niet onderhouden. Dit kost energie en verslechtert de luchtkwaliteit merkbaar.</w:t>
      </w:r>
    </w:p>
    <w:p>
      <w:pPr>
        <w:spacing w:before="80" w:after="160"/>
      </w:pPr>
      <w:r>
        <w:rPr>
          <w:color w:val="1A2340"/>
        </w:rPr>
        <w:t xml:space="preserve">- Oververhitting in de zomer: de goede isolatieschil houdt warmte ook binnen. Bij het vervangen van glas voor zonwerende beglazing houdt dit in de winter ook 'gratis' zonnewarmte tegen. Overweeg een CO2-indicator om de luchtkwaliteit na verduurzaming te monitoren.</w:t>
      </w:r>
    </w:p>
    <w:p>
      <w:pPr>
        <w:spacing w:before="80" w:after="160"/>
      </w:pPr>
      <w:r>
        <w:rPr>
          <w:color w:val="1A2340"/>
        </w:rPr>
        <w:t xml:space="preserve">- Sluipverbruik: inefficiënte instellingen van ventilatiesystemen zijn de grootste verliesposten — onzichtbaar maar structureel aanwezig op de energierekening.</w:t>
      </w:r>
    </w:p>
    <w:p>
      <w:pPr>
        <w:spacing w:before="120" w:after="120"/>
      </w:pPr>
    </w:p>
    <w:p>
      <w:pPr>
        <w:spacing w:before="80" w:after="160"/>
      </w:pPr>
      <w:r>
        <w:rPr>
          <w:color w:val="1A2340"/>
        </w:rPr>
        <w:t xml:space="preserve">Bouwfysisch risico bij na-isoleren: als uw woning al (gedeeltelijk) geïsoleerd is, brengt aanvullende isolatie bouwfysische risico's met zich mee. Een verstoorde dampdiffusie of onvoldoende ventilatie kan leiden tot vocht, condensatie en schimmelvorming in de constructie — schade die niet altijd direct zichtbaar is maar de constructie ernstig kan aantasten. Laat een erkend bedrijf of bouwfysisch adviseur daarom altijd eerst een technisch onderzoek uitvoeren voordat u overgaat tot na-isoleren.</w:t>
      </w:r>
    </w:p>
    <w:p>
      <w:pPr>
        <w:spacing w:before="120" w:after="120"/>
      </w:pPr>
    </w:p>
    <w:p>
      <w:pPr>
        <w:spacing w:before="80" w:after="160"/>
      </w:pPr>
      <w:r>
        <w:rPr>
          <w:color w:val="1A2340"/>
        </w:rPr>
        <w:t xml:space="preserve">Laat de bevindingen bevestigen via een foto-inspectie of maatwerkadvies. Neem contact op met PandIQ voor een concrete vervolgstap: www.pandiq.nl</w:t>
      </w:r>
    </w:p>
    <w:p w14:paraId="6D6ED4B6" w14:textId="77777777" w:rsidR="0072010A" w:rsidRDefault="0072010A">
      <w:pPr>
        <w:pBdr>
          <w:bottom w:val="single" w:sz="2" w:space="1" w:color="D0D8EC"/>
        </w:pBdr>
        <w:spacing w:before="160" w:after="160"/>
      </w:pPr>
    </w:p>
    <w:p w14:paraId="6D6ED4B7" w14:textId="6AC174ED" w:rsidR="0072010A" w:rsidRPr="00DC422D" w:rsidRDefault="00B346C3">
      <w:pPr>
        <w:pStyle w:val="Kop1"/>
        <w:pBdr>
          <w:bottom w:val="single" w:sz="4" w:space="4" w:color="2E6BE6"/>
        </w:pBdr>
        <w:rPr>
          <w:color w:val="5AAA00"/>
        </w:rPr>
      </w:pPr>
      <w:r w:rsidRPr="00DC422D">
        <w:rPr>
          <w:color w:val="5AAA00"/>
        </w:rPr>
        <w:t>Mogelijk relevante subsidies</w:t>
      </w:r>
    </w:p>
    <w:tbl>
      <w:tblPr>
        <w:tblW w:w="9026" w:type="dxa"/>
        <w:tblLook w:firstColumn="1" w:firstRow="1" w:lastColumn="0" w:lastRow="0" w:noHBand="0" w:noVBand="1" w:val="04A0"/>
      </w:tblPr>
      <w:tblGrid>
        <w:gridCol w:w="3200"/>
        <w:gridCol w:w="1456"/>
        <w:gridCol w:w="1457"/>
        <w:gridCol w:w="1457"/>
        <w:gridCol w:w="1456"/>
      </w:tblGrid>
      <w:tr>
        <w:trPr>
          <w:trHeight w:val="400" w:hRule="atLeast"/>
        </w:trPr>
        <w:tc>
          <w:tcPr>
            <w:tcW w:w="3200" w:type="dxa"/>
            <w:shd w:val="clear" w:color="auto" w:fill="5AAA00"/>
          </w:tcPr>
          <w:p>
            <w:r/>
            <w:r>
              <w:rPr>
                <w:rFonts w:ascii="Calibri" w:hAnsi="Calibri"/>
                <w:b/>
                <w:i w:val="0"/>
                <w:color w:val="FFFFFF"/>
                <w:sz w:val="22"/>
              </w:rPr>
              <w:t>Maatregel</w:t>
            </w:r>
          </w:p>
        </w:tc>
        <w:tc>
          <w:tcPr>
            <w:tcW w:w="1456" w:type="dxa"/>
            <w:shd w:val="clear" w:color="auto" w:fill="5AAA00"/>
          </w:tcPr>
          <w:p>
            <w:r/>
            <w:r>
              <w:rPr>
                <w:rFonts w:ascii="Calibri" w:hAnsi="Calibri"/>
                <w:b/>
                <w:i w:val="0"/>
                <w:color w:val="FFFFFF"/>
                <w:sz w:val="22"/>
              </w:rPr>
              <w:t>Enkelvoudig</w:t>
            </w:r>
          </w:p>
        </w:tc>
        <w:tc>
          <w:tcPr>
            <w:tcW w:w="1457" w:type="dxa"/>
            <w:shd w:val="clear" w:color="auto" w:fill="5AAA00"/>
          </w:tcPr>
          <w:p>
            <w:r/>
            <w:r>
              <w:rPr>
                <w:rFonts w:ascii="Calibri" w:hAnsi="Calibri"/>
                <w:b/>
                <w:i w:val="0"/>
                <w:color w:val="FFFFFF"/>
                <w:sz w:val="22"/>
              </w:rPr>
              <w:t>Meervoudig</w:t>
            </w:r>
          </w:p>
        </w:tc>
        <w:tc>
          <w:tcPr>
            <w:tcW w:w="1457" w:type="dxa"/>
            <w:shd w:val="clear" w:color="auto" w:fill="5AAA00"/>
          </w:tcPr>
          <w:p>
            <w:r/>
            <w:r>
              <w:rPr>
                <w:rFonts w:ascii="Calibri" w:hAnsi="Calibri"/>
                <w:b/>
                <w:i w:val="0"/>
                <w:color w:val="FFFFFF"/>
                <w:sz w:val="22"/>
              </w:rPr>
              <w:t>Biobased bonus</w:t>
            </w:r>
          </w:p>
        </w:tc>
        <w:tc>
          <w:tcPr>
            <w:tcW w:w="1456" w:type="dxa"/>
            <w:shd w:val="clear" w:color="auto" w:fill="5AAA00"/>
          </w:tcPr>
          <w:p>
            <w:r/>
            <w:r>
              <w:rPr>
                <w:rFonts w:ascii="Calibri" w:hAnsi="Calibri"/>
                <w:b/>
                <w:i w:val="0"/>
                <w:color w:val="FFFFFF"/>
                <w:sz w:val="22"/>
              </w:rPr>
              <w:t>Min. Rc/Rd</w:t>
            </w:r>
          </w:p>
        </w:tc>
      </w:tr>
      <w:tr>
        <w:trPr>
          <w:trHeight w:val="400" w:hRule="atLeast"/>
        </w:trPr>
        <w:tc>
          <w:tcPr>
            <w:tcW w:type="dxa" w:w="3200"/>
            <w:shd w:val="clear" w:color="auto" w:fill="FFFFFF"/>
          </w:tcPr>
          <w:p>
            <w:r/>
            <w:r>
              <w:rPr>
                <w:rFonts w:ascii="Calibri" w:hAnsi="Calibri"/>
                <w:b/>
                <w:i w:val="0"/>
                <w:color w:val="1D1D1B"/>
                <w:sz w:val="22"/>
              </w:rPr>
              <w:t>Gevelisolatie (binnen/buiten)</w:t>
            </w:r>
          </w:p>
        </w:tc>
        <w:tc>
          <w:tcPr>
            <w:tcW w:type="dxa" w:w="1456"/>
            <w:shd w:val="clear" w:color="auto" w:fill="FFFFFF"/>
          </w:tcPr>
          <w:p>
            <w:r/>
            <w:r>
              <w:rPr>
                <w:rFonts w:ascii="Calibri" w:hAnsi="Calibri"/>
                <w:b w:val="0"/>
                <w:i w:val="0"/>
                <w:color w:val="1D1D1B"/>
                <w:sz w:val="22"/>
              </w:rPr>
              <w:t>€ 10.13/m²</w:t>
            </w:r>
          </w:p>
        </w:tc>
        <w:tc>
          <w:tcPr>
            <w:tcW w:type="dxa" w:w="1457"/>
            <w:shd w:val="clear" w:color="auto" w:fill="FFFFFF"/>
          </w:tcPr>
          <w:p>
            <w:r/>
            <w:r>
              <w:rPr>
                <w:rFonts w:ascii="Calibri" w:hAnsi="Calibri"/>
                <w:b/>
                <w:i w:val="0"/>
                <w:color w:val="1D1D1B"/>
                <w:sz w:val="22"/>
              </w:rPr>
              <w:t>€ 20.25/m²</w:t>
            </w:r>
          </w:p>
        </w:tc>
        <w:tc>
          <w:tcPr>
            <w:tcW w:type="dxa" w:w="1457"/>
            <w:shd w:val="clear" w:color="auto" w:fill="FFFFFF"/>
          </w:tcPr>
          <w:p>
            <w:r/>
            <w:r>
              <w:rPr>
                <w:rFonts w:ascii="Calibri" w:hAnsi="Calibri"/>
                <w:b w:val="0"/>
                <w:i w:val="0"/>
                <w:color w:val="1D1D1B"/>
                <w:sz w:val="22"/>
              </w:rPr>
              <w:t>+ € 6.00/m²</w:t>
            </w:r>
          </w:p>
        </w:tc>
        <w:tc>
          <w:tcPr>
            <w:tcW w:type="dxa" w:w="1456"/>
            <w:shd w:val="clear" w:color="auto" w:fill="FFFFFF"/>
          </w:tcPr>
          <w:p>
            <w:r/>
            <w:r>
              <w:rPr>
                <w:rFonts w:ascii="Calibri" w:hAnsi="Calibri"/>
                <w:b w:val="0"/>
                <w:i w:val="0"/>
                <w:color w:val="1D1D1B"/>
                <w:sz w:val="22"/>
              </w:rPr>
              <w:t>Rc ≥ 3,5 / Rd ≥ 2,5 m²K/W</w:t>
            </w:r>
          </w:p>
        </w:tc>
      </w:tr>
      <w:tr>
        <w:trPr>
          <w:trHeight w:val="400" w:hRule="atLeast"/>
        </w:trPr>
        <w:tc>
          <w:tcPr>
            <w:tcW w:type="dxa" w:w="3200"/>
            <w:shd w:val="clear" w:color="auto" w:fill="FFFFFF"/>
          </w:tcPr>
          <w:p>
            <w:r/>
            <w:r>
              <w:rPr>
                <w:rFonts w:ascii="Calibri" w:hAnsi="Calibri"/>
                <w:b/>
                <w:i w:val="0"/>
                <w:color w:val="1D1D1B"/>
                <w:sz w:val="22"/>
              </w:rPr>
              <w:t>Dakisolatie</w:t>
            </w:r>
          </w:p>
        </w:tc>
        <w:tc>
          <w:tcPr>
            <w:tcW w:type="dxa" w:w="1456"/>
            <w:shd w:val="clear" w:color="auto" w:fill="FFFFFF"/>
          </w:tcPr>
          <w:p>
            <w:r/>
            <w:r>
              <w:rPr>
                <w:rFonts w:ascii="Calibri" w:hAnsi="Calibri"/>
                <w:b w:val="0"/>
                <w:i w:val="0"/>
                <w:color w:val="1D1D1B"/>
                <w:sz w:val="22"/>
              </w:rPr>
              <w:t>€ 8.13/m²</w:t>
            </w:r>
          </w:p>
        </w:tc>
        <w:tc>
          <w:tcPr>
            <w:tcW w:type="dxa" w:w="1457"/>
            <w:shd w:val="clear" w:color="auto" w:fill="FFFFFF"/>
          </w:tcPr>
          <w:p>
            <w:r/>
            <w:r>
              <w:rPr>
                <w:rFonts w:ascii="Calibri" w:hAnsi="Calibri"/>
                <w:b/>
                <w:i w:val="0"/>
                <w:color w:val="1D1D1B"/>
                <w:sz w:val="22"/>
              </w:rPr>
              <w:t>€ 16.25/m²</w:t>
            </w:r>
          </w:p>
        </w:tc>
        <w:tc>
          <w:tcPr>
            <w:tcW w:type="dxa" w:w="1457"/>
            <w:shd w:val="clear" w:color="auto" w:fill="FFFFFF"/>
          </w:tcPr>
          <w:p>
            <w:r/>
            <w:r>
              <w:rPr>
                <w:rFonts w:ascii="Calibri" w:hAnsi="Calibri"/>
                <w:b w:val="0"/>
                <w:i w:val="0"/>
                <w:color w:val="1D1D1B"/>
                <w:sz w:val="22"/>
              </w:rPr>
              <w:t>+ € 5.00/m²</w:t>
            </w:r>
          </w:p>
        </w:tc>
        <w:tc>
          <w:tcPr>
            <w:tcW w:type="dxa" w:w="1456"/>
            <w:shd w:val="clear" w:color="auto" w:fill="FFFFFF"/>
          </w:tcPr>
          <w:p>
            <w:r/>
            <w:r>
              <w:rPr>
                <w:rFonts w:ascii="Calibri" w:hAnsi="Calibri"/>
                <w:b w:val="0"/>
                <w:i w:val="0"/>
                <w:color w:val="1D1D1B"/>
                <w:sz w:val="22"/>
              </w:rPr>
              <w:t>Rc ≥ 3,5 m²K/W</w:t>
            </w:r>
          </w:p>
        </w:tc>
      </w:tr>
      <w:tr>
        <w:trPr>
          <w:trHeight w:val="400" w:hRule="atLeast"/>
        </w:trPr>
        <w:tc>
          <w:tcPr>
            <w:tcW w:type="dxa" w:w="3200"/>
          </w:tcPr>
          <w:p>
            <w:r/>
            <w:r>
              <w:rPr>
                <w:rFonts w:ascii="Calibri" w:hAnsi="Calibri"/>
                <w:b w:val="0"/>
                <w:i w:val="0"/>
                <w:color w:val="999999"/>
                <w:sz w:val="22"/>
              </w:rPr>
              <w:t>Zoldervloerisolatie</w:t>
            </w:r>
          </w:p>
        </w:tc>
        <w:tc>
          <w:tcPr>
            <w:tcW w:type="dxa" w:w="1456"/>
          </w:tcPr>
          <w:p>
            <w:r/>
            <w:r>
              <w:rPr>
                <w:rFonts w:ascii="Calibri" w:hAnsi="Calibri"/>
                <w:b w:val="0"/>
                <w:i w:val="0"/>
                <w:color w:val="999999"/>
                <w:sz w:val="22"/>
              </w:rPr>
              <w:t>€ 2.00/m²</w:t>
            </w:r>
          </w:p>
        </w:tc>
        <w:tc>
          <w:tcPr>
            <w:tcW w:type="dxa" w:w="1457"/>
          </w:tcPr>
          <w:p>
            <w:r/>
            <w:r>
              <w:rPr>
                <w:rFonts w:ascii="Calibri" w:hAnsi="Calibri"/>
                <w:b w:val="0"/>
                <w:i w:val="0"/>
                <w:color w:val="999999"/>
                <w:sz w:val="22"/>
              </w:rPr>
              <w:t>€ 4.00/m²</w:t>
            </w:r>
          </w:p>
        </w:tc>
        <w:tc>
          <w:tcPr>
            <w:tcW w:type="dxa" w:w="1457"/>
          </w:tcPr>
          <w:p>
            <w:r/>
            <w:r>
              <w:rPr>
                <w:rFonts w:ascii="Calibri" w:hAnsi="Calibri"/>
                <w:b w:val="0"/>
                <w:i w:val="0"/>
                <w:color w:val="999999"/>
                <w:sz w:val="22"/>
              </w:rPr>
              <w:t>+ € 1.50/m²</w:t>
            </w:r>
          </w:p>
        </w:tc>
        <w:tc>
          <w:tcPr>
            <w:tcW w:type="dxa" w:w="1456"/>
          </w:tcPr>
          <w:p>
            <w:r/>
            <w:r>
              <w:rPr>
                <w:rFonts w:ascii="Calibri" w:hAnsi="Calibri"/>
                <w:b w:val="0"/>
                <w:i w:val="0"/>
                <w:color w:val="999999"/>
                <w:sz w:val="22"/>
              </w:rPr>
              <w:t>Rc ≥ 3,5 m²K/W</w:t>
            </w:r>
          </w:p>
        </w:tc>
      </w:tr>
      <w:tr>
        <w:trPr>
          <w:trHeight w:val="400" w:hRule="atLeast"/>
        </w:trPr>
        <w:tc>
          <w:tcPr>
            <w:tcW w:type="dxa" w:w="3200"/>
            <w:shd w:val="clear" w:color="auto" w:fill="FFFFFF"/>
          </w:tcPr>
          <w:p>
            <w:r/>
            <w:r>
              <w:rPr>
                <w:rFonts w:ascii="Calibri" w:hAnsi="Calibri"/>
                <w:b/>
                <w:i w:val="0"/>
                <w:color w:val="1D1D1B"/>
                <w:sz w:val="22"/>
              </w:rPr>
              <w:t>Spouwmuurisolatie</w:t>
            </w:r>
          </w:p>
        </w:tc>
        <w:tc>
          <w:tcPr>
            <w:tcW w:type="dxa" w:w="1456"/>
            <w:shd w:val="clear" w:color="auto" w:fill="FFFFFF"/>
          </w:tcPr>
          <w:p>
            <w:r/>
            <w:r>
              <w:rPr>
                <w:rFonts w:ascii="Calibri" w:hAnsi="Calibri"/>
                <w:b w:val="0"/>
                <w:i w:val="0"/>
                <w:color w:val="1D1D1B"/>
                <w:sz w:val="22"/>
              </w:rPr>
              <w:t>€ 2.63/m²</w:t>
            </w:r>
          </w:p>
        </w:tc>
        <w:tc>
          <w:tcPr>
            <w:tcW w:type="dxa" w:w="1457"/>
            <w:shd w:val="clear" w:color="auto" w:fill="FFFFFF"/>
          </w:tcPr>
          <w:p>
            <w:r/>
            <w:r>
              <w:rPr>
                <w:rFonts w:ascii="Calibri" w:hAnsi="Calibri"/>
                <w:b/>
                <w:i w:val="0"/>
                <w:color w:val="1D1D1B"/>
                <w:sz w:val="22"/>
              </w:rPr>
              <w:t>€ 5.25/m²</w:t>
            </w:r>
          </w:p>
        </w:tc>
        <w:tc>
          <w:tcPr>
            <w:tcW w:type="dxa" w:w="1457"/>
            <w:shd w:val="clear" w:color="auto" w:fill="FFFFFF"/>
          </w:tcPr>
          <w:p>
            <w:r/>
            <w:r>
              <w:rPr>
                <w:rFonts w:ascii="Calibri" w:hAnsi="Calibri"/>
                <w:b w:val="0"/>
                <w:i w:val="0"/>
                <w:color w:val="1D1D1B"/>
                <w:sz w:val="22"/>
              </w:rPr>
              <w:t>+ € 1.50/m²</w:t>
            </w:r>
          </w:p>
        </w:tc>
        <w:tc>
          <w:tcPr>
            <w:tcW w:type="dxa" w:w="1456"/>
            <w:shd w:val="clear" w:color="auto" w:fill="FFFFFF"/>
          </w:tcPr>
          <w:p>
            <w:r/>
            <w:r>
              <w:rPr>
                <w:rFonts w:ascii="Calibri" w:hAnsi="Calibri"/>
                <w:b w:val="0"/>
                <w:i w:val="0"/>
                <w:color w:val="1D1D1B"/>
                <w:sz w:val="22"/>
              </w:rPr>
              <w:t>Rc ≥ 1,1 m²K/W</w:t>
            </w:r>
          </w:p>
        </w:tc>
      </w:tr>
      <w:tr>
        <w:trPr>
          <w:trHeight w:val="400" w:hRule="atLeast"/>
        </w:trPr>
        <w:tc>
          <w:tcPr>
            <w:tcW w:type="dxa" w:w="3200"/>
            <w:shd w:val="clear" w:color="auto" w:fill="FFFFFF"/>
          </w:tcPr>
          <w:p>
            <w:r/>
            <w:r>
              <w:rPr>
                <w:rFonts w:ascii="Calibri" w:hAnsi="Calibri"/>
                <w:b/>
                <w:i w:val="0"/>
                <w:color w:val="1D1D1B"/>
                <w:sz w:val="22"/>
              </w:rPr>
              <w:t>Vloerisolatie</w:t>
            </w:r>
          </w:p>
        </w:tc>
        <w:tc>
          <w:tcPr>
            <w:tcW w:type="dxa" w:w="1456"/>
            <w:shd w:val="clear" w:color="auto" w:fill="FFFFFF"/>
          </w:tcPr>
          <w:p>
            <w:r/>
            <w:r>
              <w:rPr>
                <w:rFonts w:ascii="Calibri" w:hAnsi="Calibri"/>
                <w:b w:val="0"/>
                <w:i w:val="0"/>
                <w:color w:val="1D1D1B"/>
                <w:sz w:val="22"/>
              </w:rPr>
              <w:t>€ 2.75/m²</w:t>
            </w:r>
          </w:p>
        </w:tc>
        <w:tc>
          <w:tcPr>
            <w:tcW w:type="dxa" w:w="1457"/>
            <w:shd w:val="clear" w:color="auto" w:fill="FFFFFF"/>
          </w:tcPr>
          <w:p>
            <w:r/>
            <w:r>
              <w:rPr>
                <w:rFonts w:ascii="Calibri" w:hAnsi="Calibri"/>
                <w:b/>
                <w:i w:val="0"/>
                <w:color w:val="1D1D1B"/>
                <w:sz w:val="22"/>
              </w:rPr>
              <w:t>€ 5.50/m²</w:t>
            </w:r>
          </w:p>
        </w:tc>
        <w:tc>
          <w:tcPr>
            <w:tcW w:type="dxa" w:w="1457"/>
            <w:shd w:val="clear" w:color="auto" w:fill="FFFFFF"/>
          </w:tcPr>
          <w:p>
            <w:r/>
            <w:r>
              <w:rPr>
                <w:rFonts w:ascii="Calibri" w:hAnsi="Calibri"/>
                <w:b w:val="0"/>
                <w:i w:val="0"/>
                <w:color w:val="1D1D1B"/>
                <w:sz w:val="22"/>
              </w:rPr>
              <w:t>+ € 2.00/m²</w:t>
            </w:r>
          </w:p>
        </w:tc>
        <w:tc>
          <w:tcPr>
            <w:tcW w:type="dxa" w:w="1456"/>
            <w:shd w:val="clear" w:color="auto" w:fill="FFFFFF"/>
          </w:tcPr>
          <w:p>
            <w:r/>
            <w:r>
              <w:rPr>
                <w:rFonts w:ascii="Calibri" w:hAnsi="Calibri"/>
                <w:b w:val="0"/>
                <w:i w:val="0"/>
                <w:color w:val="1D1D1B"/>
                <w:sz w:val="22"/>
              </w:rPr>
              <w:t>Rc ≥ 3,5 m²K/W</w:t>
            </w:r>
          </w:p>
        </w:tc>
      </w:tr>
      <w:tr>
        <w:trPr>
          <w:trHeight w:val="400" w:hRule="atLeast"/>
        </w:trPr>
        <w:tc>
          <w:tcPr>
            <w:tcW w:type="dxa" w:w="3200"/>
          </w:tcPr>
          <w:p>
            <w:r/>
            <w:r>
              <w:rPr>
                <w:rFonts w:ascii="Calibri" w:hAnsi="Calibri"/>
                <w:b w:val="0"/>
                <w:i w:val="0"/>
                <w:color w:val="999999"/>
                <w:sz w:val="22"/>
              </w:rPr>
              <w:t>Bodemisolatie (kruipruimte)</w:t>
            </w:r>
          </w:p>
        </w:tc>
        <w:tc>
          <w:tcPr>
            <w:tcW w:type="dxa" w:w="1456"/>
          </w:tcPr>
          <w:p>
            <w:r/>
            <w:r>
              <w:rPr>
                <w:rFonts w:ascii="Calibri" w:hAnsi="Calibri"/>
                <w:b w:val="0"/>
                <w:i w:val="0"/>
                <w:color w:val="999999"/>
                <w:sz w:val="22"/>
              </w:rPr>
              <w:t>€ 1.50/m²</w:t>
            </w:r>
          </w:p>
        </w:tc>
        <w:tc>
          <w:tcPr>
            <w:tcW w:type="dxa" w:w="1457"/>
          </w:tcPr>
          <w:p>
            <w:r/>
            <w:r>
              <w:rPr>
                <w:rFonts w:ascii="Calibri" w:hAnsi="Calibri"/>
                <w:b w:val="0"/>
                <w:i w:val="0"/>
                <w:color w:val="999999"/>
                <w:sz w:val="22"/>
              </w:rPr>
              <w:t>€ 3.00/m²</w:t>
            </w:r>
          </w:p>
        </w:tc>
        <w:tc>
          <w:tcPr>
            <w:tcW w:type="dxa" w:w="1457"/>
          </w:tcPr>
          <w:p>
            <w:r/>
            <w:r>
              <w:rPr>
                <w:rFonts w:ascii="Calibri" w:hAnsi="Calibri"/>
                <w:b w:val="0"/>
                <w:i w:val="0"/>
                <w:color w:val="999999"/>
                <w:sz w:val="22"/>
              </w:rPr>
              <w:t>+ € 1.00/m²</w:t>
            </w:r>
          </w:p>
        </w:tc>
        <w:tc>
          <w:tcPr>
            <w:tcW w:type="dxa" w:w="1456"/>
          </w:tcPr>
          <w:p>
            <w:r/>
            <w:r>
              <w:rPr>
                <w:rFonts w:ascii="Calibri" w:hAnsi="Calibri"/>
                <w:b w:val="0"/>
                <w:i w:val="0"/>
                <w:color w:val="999999"/>
                <w:sz w:val="22"/>
              </w:rPr>
              <w:t>Rc ≥ 1,3 m²K/W</w:t>
            </w:r>
          </w:p>
        </w:tc>
      </w:tr>
    </w:tbl>
    <w:p/>
    <w:tbl>
      <w:tblPr>
        <w:tblW w:w="9026" w:type="dxa"/>
        <w:tblLook w:firstColumn="1" w:firstRow="1" w:lastColumn="0" w:lastRow="0" w:noHBand="0" w:noVBand="1" w:val="04A0"/>
      </w:tblPr>
      <w:tblGrid>
        <w:gridCol w:w="3200"/>
        <w:gridCol w:w="1942"/>
        <w:gridCol w:w="1942"/>
        <w:gridCol w:w="1942"/>
      </w:tblGrid>
      <w:tr>
        <w:trPr>
          <w:trHeight w:val="400" w:hRule="atLeast"/>
        </w:trPr>
        <w:tc>
          <w:tcPr>
            <w:tcW w:w="3200" w:type="dxa"/>
            <w:shd w:val="clear" w:color="auto" w:fill="5AAA00"/>
          </w:tcPr>
          <w:p>
            <w:r/>
            <w:r>
              <w:rPr>
                <w:rFonts w:ascii="Calibri" w:hAnsi="Calibri"/>
                <w:b/>
                <w:i w:val="0"/>
                <w:color w:val="FFFFFF"/>
                <w:sz w:val="22"/>
              </w:rPr>
              <w:t>Type glas</w:t>
            </w:r>
          </w:p>
        </w:tc>
        <w:tc>
          <w:tcPr>
            <w:tcW w:w="1942" w:type="dxa"/>
            <w:shd w:val="clear" w:color="auto" w:fill="5AAA00"/>
          </w:tcPr>
          <w:p>
            <w:r/>
            <w:r>
              <w:rPr>
                <w:rFonts w:ascii="Calibri" w:hAnsi="Calibri"/>
                <w:b/>
                <w:i w:val="0"/>
                <w:color w:val="FFFFFF"/>
                <w:sz w:val="22"/>
              </w:rPr>
              <w:t>Enkelvoudig</w:t>
            </w:r>
          </w:p>
        </w:tc>
        <w:tc>
          <w:tcPr>
            <w:tcW w:w="1942" w:type="dxa"/>
            <w:shd w:val="clear" w:color="auto" w:fill="5AAA00"/>
          </w:tcPr>
          <w:p>
            <w:r/>
            <w:r>
              <w:rPr>
                <w:rFonts w:ascii="Calibri" w:hAnsi="Calibri"/>
                <w:b/>
                <w:i w:val="0"/>
                <w:color w:val="FFFFFF"/>
                <w:sz w:val="22"/>
              </w:rPr>
              <w:t>Meervoudig</w:t>
            </w:r>
          </w:p>
        </w:tc>
        <w:tc>
          <w:tcPr>
            <w:tcW w:w="1942" w:type="dxa"/>
            <w:shd w:val="clear" w:color="auto" w:fill="5AAA00"/>
          </w:tcPr>
          <w:p>
            <w:r/>
            <w:r>
              <w:rPr>
                <w:rFonts w:ascii="Calibri" w:hAnsi="Calibri"/>
                <w:b/>
                <w:i w:val="0"/>
                <w:color w:val="FFFFFF"/>
                <w:sz w:val="22"/>
              </w:rPr>
              <w:t>Min. U-waarde</w:t>
            </w:r>
          </w:p>
        </w:tc>
      </w:tr>
      <w:tr>
        <w:trPr>
          <w:trHeight w:val="400" w:hRule="atLeast"/>
        </w:trPr>
        <w:tc>
          <w:tcPr>
            <w:tcW w:type="dxa" w:w="3200"/>
            <w:shd w:val="clear" w:color="auto" w:fill="FFFFFF"/>
          </w:tcPr>
          <w:p>
            <w:r/>
            <w:r>
              <w:rPr>
                <w:rFonts w:ascii="Calibri" w:hAnsi="Calibri"/>
                <w:b/>
                <w:i w:val="0"/>
                <w:color w:val="1D1D1B"/>
                <w:sz w:val="22"/>
              </w:rPr>
              <w:t>HR++ glas</w:t>
            </w:r>
          </w:p>
        </w:tc>
        <w:tc>
          <w:tcPr>
            <w:tcW w:type="dxa" w:w="1942"/>
            <w:shd w:val="clear" w:color="auto" w:fill="FFFFFF"/>
          </w:tcPr>
          <w:p>
            <w:r/>
            <w:r>
              <w:rPr>
                <w:rFonts w:ascii="Calibri" w:hAnsi="Calibri"/>
                <w:b w:val="0"/>
                <w:i w:val="0"/>
                <w:color w:val="1D1D1B"/>
                <w:sz w:val="22"/>
              </w:rPr>
              <w:t>€ 12.50/m²</w:t>
            </w:r>
          </w:p>
        </w:tc>
        <w:tc>
          <w:tcPr>
            <w:tcW w:type="dxa" w:w="1942"/>
            <w:shd w:val="clear" w:color="auto" w:fill="FFFFFF"/>
          </w:tcPr>
          <w:p>
            <w:r/>
            <w:r>
              <w:rPr>
                <w:rFonts w:ascii="Calibri" w:hAnsi="Calibri"/>
                <w:b/>
                <w:i w:val="0"/>
                <w:color w:val="1D1D1B"/>
                <w:sz w:val="22"/>
              </w:rPr>
              <w:t>€ 25.00/m²</w:t>
            </w:r>
          </w:p>
        </w:tc>
        <w:tc>
          <w:tcPr>
            <w:tcW w:type="dxa" w:w="1942"/>
            <w:shd w:val="clear" w:color="auto" w:fill="FFFFFF"/>
          </w:tcPr>
          <w:p>
            <w:r/>
            <w:r>
              <w:rPr>
                <w:rFonts w:ascii="Calibri" w:hAnsi="Calibri"/>
                <w:b w:val="0"/>
                <w:i w:val="0"/>
                <w:color w:val="1D1D1B"/>
                <w:sz w:val="22"/>
              </w:rPr>
              <w:t>U ≤ 1,2 W/m²K</w:t>
            </w:r>
          </w:p>
        </w:tc>
      </w:tr>
      <w:tr>
        <w:trPr>
          <w:trHeight w:val="400" w:hRule="atLeast"/>
        </w:trPr>
        <w:tc>
          <w:tcPr>
            <w:tcW w:type="dxa" w:w="3200"/>
            <w:shd w:val="clear" w:color="auto" w:fill="FFFFFF"/>
          </w:tcPr>
          <w:p>
            <w:r/>
            <w:r>
              <w:rPr>
                <w:rFonts w:ascii="Calibri" w:hAnsi="Calibri"/>
                <w:b/>
                <w:i w:val="0"/>
                <w:color w:val="1D1D1B"/>
                <w:sz w:val="22"/>
              </w:rPr>
              <w:t>Vacuümglas</w:t>
            </w:r>
          </w:p>
        </w:tc>
        <w:tc>
          <w:tcPr>
            <w:tcW w:type="dxa" w:w="1942"/>
            <w:shd w:val="clear" w:color="auto" w:fill="FFFFFF"/>
          </w:tcPr>
          <w:p>
            <w:r/>
            <w:r>
              <w:rPr>
                <w:rFonts w:ascii="Calibri" w:hAnsi="Calibri"/>
                <w:b w:val="0"/>
                <w:i w:val="0"/>
                <w:color w:val="1D1D1B"/>
                <w:sz w:val="22"/>
              </w:rPr>
              <w:t>€ 12.50/m²</w:t>
            </w:r>
          </w:p>
        </w:tc>
        <w:tc>
          <w:tcPr>
            <w:tcW w:type="dxa" w:w="1942"/>
            <w:shd w:val="clear" w:color="auto" w:fill="FFFFFF"/>
          </w:tcPr>
          <w:p>
            <w:r/>
            <w:r>
              <w:rPr>
                <w:rFonts w:ascii="Calibri" w:hAnsi="Calibri"/>
                <w:b/>
                <w:i w:val="0"/>
                <w:color w:val="1D1D1B"/>
                <w:sz w:val="22"/>
              </w:rPr>
              <w:t>€ 25.00/m²</w:t>
            </w:r>
          </w:p>
        </w:tc>
        <w:tc>
          <w:tcPr>
            <w:tcW w:type="dxa" w:w="1942"/>
            <w:shd w:val="clear" w:color="auto" w:fill="FFFFFF"/>
          </w:tcPr>
          <w:p>
            <w:r/>
            <w:r>
              <w:rPr>
                <w:rFonts w:ascii="Calibri" w:hAnsi="Calibri"/>
                <w:b w:val="0"/>
                <w:i w:val="0"/>
                <w:color w:val="1D1D1B"/>
                <w:sz w:val="22"/>
              </w:rPr>
              <w:t>U ≤ 0,7 W/m²K</w:t>
            </w:r>
          </w:p>
        </w:tc>
      </w:tr>
      <w:tr>
        <w:trPr>
          <w:trHeight w:val="400" w:hRule="atLeast"/>
        </w:trPr>
        <w:tc>
          <w:tcPr>
            <w:tcW w:type="dxa" w:w="3200"/>
            <w:shd w:val="clear" w:color="auto" w:fill="FFFFFF"/>
          </w:tcPr>
          <w:p>
            <w:r/>
            <w:r>
              <w:rPr>
                <w:rFonts w:ascii="Calibri" w:hAnsi="Calibri"/>
                <w:b/>
                <w:i w:val="0"/>
                <w:color w:val="1D1D1B"/>
                <w:sz w:val="22"/>
              </w:rPr>
              <w:t>Triple glas</w:t>
            </w:r>
          </w:p>
        </w:tc>
        <w:tc>
          <w:tcPr>
            <w:tcW w:type="dxa" w:w="1942"/>
            <w:shd w:val="clear" w:color="auto" w:fill="FFFFFF"/>
          </w:tcPr>
          <w:p>
            <w:r/>
            <w:r>
              <w:rPr>
                <w:rFonts w:ascii="Calibri" w:hAnsi="Calibri"/>
                <w:b w:val="0"/>
                <w:i w:val="0"/>
                <w:color w:val="1D1D1B"/>
                <w:sz w:val="22"/>
              </w:rPr>
              <w:t>€ 55.50/m²</w:t>
            </w:r>
          </w:p>
        </w:tc>
        <w:tc>
          <w:tcPr>
            <w:tcW w:type="dxa" w:w="1942"/>
            <w:shd w:val="clear" w:color="auto" w:fill="FFFFFF"/>
          </w:tcPr>
          <w:p>
            <w:r/>
            <w:r>
              <w:rPr>
                <w:rFonts w:ascii="Calibri" w:hAnsi="Calibri"/>
                <w:b/>
                <w:i w:val="0"/>
                <w:color w:val="1D1D1B"/>
                <w:sz w:val="22"/>
              </w:rPr>
              <w:t>€ 111.00/m²</w:t>
            </w:r>
          </w:p>
        </w:tc>
        <w:tc>
          <w:tcPr>
            <w:tcW w:type="dxa" w:w="1942"/>
            <w:shd w:val="clear" w:color="auto" w:fill="FFFFFF"/>
          </w:tcPr>
          <w:p>
            <w:r/>
            <w:r>
              <w:rPr>
                <w:rFonts w:ascii="Calibri" w:hAnsi="Calibri"/>
                <w:b w:val="0"/>
                <w:i w:val="0"/>
                <w:color w:val="1D1D1B"/>
                <w:sz w:val="22"/>
              </w:rPr>
              <w:t>U ≤ 0,7 W/m²K</w:t>
            </w:r>
          </w:p>
        </w:tc>
      </w:tr>
      <w:tr>
        <w:trPr>
          <w:trHeight w:val="400" w:hRule="atLeast"/>
        </w:trPr>
        <w:tc>
          <w:tcPr>
            <w:tcW w:type="dxa" w:w="3200"/>
            <w:shd w:val="clear" w:color="auto" w:fill="FFFFFF"/>
          </w:tcPr>
          <w:p>
            <w:r/>
            <w:r>
              <w:rPr>
                <w:rFonts w:ascii="Calibri" w:hAnsi="Calibri"/>
                <w:b/>
                <w:i w:val="0"/>
                <w:color w:val="1D1D1B"/>
                <w:sz w:val="22"/>
              </w:rPr>
              <w:t>Isolerende deuren</w:t>
            </w:r>
          </w:p>
        </w:tc>
        <w:tc>
          <w:tcPr>
            <w:tcW w:type="dxa" w:w="1942"/>
            <w:shd w:val="clear" w:color="auto" w:fill="FFFFFF"/>
          </w:tcPr>
          <w:p>
            <w:r/>
            <w:r>
              <w:rPr>
                <w:rFonts w:ascii="Calibri" w:hAnsi="Calibri"/>
                <w:b w:val="0"/>
                <w:i w:val="0"/>
                <w:color w:val="1D1D1B"/>
                <w:sz w:val="22"/>
              </w:rPr>
              <w:t>€ 55.50/m²</w:t>
            </w:r>
          </w:p>
        </w:tc>
        <w:tc>
          <w:tcPr>
            <w:tcW w:type="dxa" w:w="1942"/>
            <w:shd w:val="clear" w:color="auto" w:fill="FFFFFF"/>
          </w:tcPr>
          <w:p>
            <w:r/>
            <w:r>
              <w:rPr>
                <w:rFonts w:ascii="Calibri" w:hAnsi="Calibri"/>
                <w:b/>
                <w:i w:val="0"/>
                <w:color w:val="1D1D1B"/>
                <w:sz w:val="22"/>
              </w:rPr>
              <w:t>€ 111.00/m²</w:t>
            </w:r>
          </w:p>
        </w:tc>
        <w:tc>
          <w:tcPr>
            <w:tcW w:type="dxa" w:w="1942"/>
            <w:shd w:val="clear" w:color="auto" w:fill="FFFFFF"/>
          </w:tcPr>
          <w:p>
            <w:r/>
            <w:r>
              <w:rPr>
                <w:rFonts w:ascii="Calibri" w:hAnsi="Calibri"/>
                <w:b w:val="0"/>
                <w:i w:val="0"/>
                <w:color w:val="1D1D1B"/>
                <w:sz w:val="22"/>
              </w:rPr>
              <w:t>U ≤ 1,0 W/m²K</w:t>
            </w:r>
          </w:p>
        </w:tc>
      </w:tr>
    </w:tbl>
    <w:p/>
    <w:tbl>
      <w:tblPr>
        <w:tblW w:w="9026" w:type="dxa"/>
        <w:tblLook w:firstColumn="1" w:firstRow="1" w:lastColumn="0" w:lastRow="0" w:noHBand="0" w:noVBand="1" w:val="04A0"/>
      </w:tblPr>
      <w:tblGrid>
        <w:gridCol w:w="3200"/>
        <w:gridCol w:w="1942"/>
        <w:gridCol w:w="1942"/>
        <w:gridCol w:w="1942"/>
      </w:tblGrid>
      <w:tr>
        <w:trPr>
          <w:trHeight w:val="400" w:hRule="atLeast"/>
        </w:trPr>
        <w:tc>
          <w:tcPr>
            <w:tcW w:w="3200" w:type="dxa"/>
            <w:shd w:val="clear" w:color="auto" w:fill="5AAA00"/>
          </w:tcPr>
          <w:p>
            <w:r/>
            <w:r>
              <w:rPr>
                <w:rFonts w:ascii="Calibri" w:hAnsi="Calibri"/>
                <w:b/>
                <w:i w:val="0"/>
                <w:color w:val="FFFFFF"/>
                <w:sz w:val="22"/>
              </w:rPr>
              <w:t>Combinatie</w:t>
            </w:r>
          </w:p>
        </w:tc>
        <w:tc>
          <w:tcPr>
            <w:tcW w:w="1942" w:type="dxa"/>
            <w:shd w:val="clear" w:color="auto" w:fill="5AAA00"/>
          </w:tcPr>
          <w:p>
            <w:r/>
            <w:r>
              <w:rPr>
                <w:rFonts w:ascii="Calibri" w:hAnsi="Calibri"/>
                <w:b/>
                <w:i w:val="0"/>
                <w:color w:val="FFFFFF"/>
                <w:sz w:val="22"/>
              </w:rPr>
              <w:t>Startbedrag</w:t>
            </w:r>
          </w:p>
        </w:tc>
        <w:tc>
          <w:tcPr>
            <w:tcW w:w="1942" w:type="dxa"/>
            <w:shd w:val="clear" w:color="auto" w:fill="5AAA00"/>
          </w:tcPr>
          <w:p>
            <w:r/>
            <w:r>
              <w:rPr>
                <w:rFonts w:ascii="Calibri" w:hAnsi="Calibri"/>
                <w:b/>
                <w:i w:val="0"/>
                <w:color w:val="FFFFFF"/>
                <w:sz w:val="22"/>
              </w:rPr>
              <w:t>Per kW vermogen</w:t>
            </w:r>
          </w:p>
        </w:tc>
        <w:tc>
          <w:tcPr>
            <w:tcW w:w="1942" w:type="dxa"/>
            <w:shd w:val="clear" w:color="auto" w:fill="5AAA00"/>
          </w:tcPr>
          <w:p>
            <w:r/>
            <w:r>
              <w:rPr>
                <w:rFonts w:ascii="Calibri" w:hAnsi="Calibri"/>
                <w:b/>
                <w:i w:val="0"/>
                <w:color w:val="FFFFFF"/>
                <w:sz w:val="22"/>
              </w:rPr>
              <w:t>A+++ bonus</w:t>
            </w:r>
          </w:p>
        </w:tc>
      </w:tr>
      <w:tr>
        <w:trPr>
          <w:trHeight w:val="400" w:hRule="atLeast"/>
        </w:trPr>
        <w:tc>
          <w:tcPr>
            <w:tcW w:w="3200" w:type="dxa"/>
            <w:shd w:val="clear" w:color="auto" w:fill="FFFFFF"/>
          </w:tcPr>
          <w:p>
            <w:r/>
            <w:r>
              <w:rPr>
                <w:rFonts w:ascii="Calibri" w:hAnsi="Calibri"/>
                <w:b/>
                <w:i w:val="0"/>
                <w:color w:val="2E7D32"/>
                <w:sz w:val="22"/>
              </w:rPr>
              <w:t>Isolatie + warmtepomp</w:t>
            </w:r>
          </w:p>
        </w:tc>
        <w:tc>
          <w:tcPr>
            <w:tcW w:w="1942" w:type="dxa"/>
            <w:shd w:val="clear" w:color="auto" w:fill="FFFFFF"/>
          </w:tcPr>
          <w:p>
            <w:r/>
            <w:r>
              <w:rPr>
                <w:rFonts w:ascii="Calibri" w:hAnsi="Calibri"/>
                <w:b w:val="0"/>
                <w:i w:val="0"/>
                <w:color w:val="2E7D32"/>
                <w:sz w:val="22"/>
              </w:rPr>
              <w:t>€ 1,025</w:t>
            </w:r>
          </w:p>
        </w:tc>
        <w:tc>
          <w:tcPr>
            <w:tcW w:w="1942" w:type="dxa"/>
            <w:shd w:val="clear" w:color="auto" w:fill="FFFFFF"/>
          </w:tcPr>
          <w:p>
            <w:r/>
            <w:r>
              <w:rPr>
                <w:rFonts w:ascii="Calibri" w:hAnsi="Calibri"/>
                <w:b w:val="0"/>
                <w:i w:val="0"/>
                <w:color w:val="2E7D32"/>
                <w:sz w:val="22"/>
              </w:rPr>
              <w:t>+ € 225 per kW</w:t>
            </w:r>
          </w:p>
        </w:tc>
        <w:tc>
          <w:tcPr>
            <w:tcW w:w="1942" w:type="dxa"/>
            <w:shd w:val="clear" w:color="auto" w:fill="FFFFFF"/>
          </w:tcPr>
          <w:p>
            <w:r/>
            <w:r>
              <w:rPr>
                <w:rFonts w:ascii="Calibri" w:hAnsi="Calibri"/>
                <w:b w:val="0"/>
                <w:i w:val="0"/>
                <w:color w:val="2E7D32"/>
                <w:sz w:val="22"/>
              </w:rPr>
              <w:t>+ € 200</w:t>
            </w:r>
          </w:p>
        </w:tc>
      </w:tr>
      <w:tr>
        <w:tc>
          <w:tcPr>
            <w:tcW w:w="9026" w:type="dxa"/>
            <w:gridSpan w:val="4"/>
            <w:shd w:val="clear" w:color="auto" w:fill="FFFFFF"/>
          </w:tcPr>
          <w:p>
            <w:r/>
            <w:r>
              <w:rPr>
                <w:rFonts w:ascii="Calibri" w:hAnsi="Calibri"/>
                <w:b w:val="0"/>
                <w:i/>
                <w:color w:val="2E7D32"/>
                <w:sz w:val="22"/>
              </w:rPr>
              <w:t>De schil is al op orde. Doe de 50-graden test om te zien of het afgiftesysteem klaar is voor een warmtepomp.</w:t>
            </w:r>
          </w:p>
        </w:tc>
      </w:tr>
    </w:tbl>
    <w:p/>
    <w:tbl>
      <w:tblPr>
        <w:tblW w:type="auto" w:w="0"/>
        <w:tblLook w:firstColumn="1" w:firstRow="1" w:lastColumn="0" w:lastRow="0" w:noHBand="0" w:noVBand="1" w:val="04A0"/>
      </w:tblPr>
      <w:tblGrid>
        <w:gridCol w:w="9638"/>
      </w:tblGrid>
      <w:tr>
        <w:trPr>
          <w:trHeight w:val="400" w:hRule="atLeast"/>
        </w:trPr>
        <w:tc>
          <w:tcPr>
            <w:tcW w:type="dxa" w:w="9638"/>
            <w:shd w:val="clear" w:color="auto" w:fill="FFFFFF"/>
          </w:tcPr>
          <w:p>
            <w:r/>
            <w:r>
              <w:rPr>
                <w:rFonts w:ascii="Calibri" w:hAnsi="Calibri"/>
                <w:b/>
                <w:i w:val="0"/>
                <w:color w:val="2E7D32"/>
                <w:sz w:val="22"/>
              </w:rPr>
              <w:t>Indicatief ISDE-subsidietotaal voor uw woning: tot €2,984 (meervoudig tarief 2026, op basis van geschatte oppervlaktes)</w:t>
            </w:r>
          </w:p>
        </w:tc>
      </w:tr>
      <w:tr>
        <w:tc>
          <w:tcPr>
            <w:tcW w:type="dxa" w:w="9638"/>
            <w:shd w:val="clear" w:color="auto" w:fill="FFFFFF"/>
          </w:tcPr>
          <w:p>
            <w:r/>
            <w:r>
              <w:rPr>
                <w:rFonts w:ascii="Calibri" w:hAnsi="Calibri"/>
                <w:b w:val="0"/>
                <w:i/>
                <w:sz w:val="22"/>
              </w:rPr>
              <w:t>Let op: Schil is al redelijk op orde (Rc ≥ 2,5). Prioriteit ligt bij installatietechniek; isolatiesubsidie is hier aanvullend.</w:t>
            </w:r>
          </w:p>
        </w:tc>
      </w:tr>
      <w:tr>
        <w:tc>
          <w:tcPr>
            <w:tcW w:type="dxa" w:w="9638"/>
            <w:shd w:val="clear" w:color="auto" w:fill="FFFFFF"/>
          </w:tcPr>
          <w:p>
            <w:r/>
            <w:r>
              <w:rPr>
                <w:rFonts w:ascii="Calibri" w:hAnsi="Calibri"/>
                <w:b w:val="0"/>
                <w:i w:val="0"/>
                <w:sz w:val="22"/>
              </w:rPr>
              <w:t>• Verdubbeling: de genoemde m²-bedragen gelden bij twee of meer maatregelen (of één isolatiemaatregel gecombineerd met een warmtepomp). Bij slechts één maatregel wordt het bedrag gehalveerd.</w:t>
            </w:r>
          </w:p>
        </w:tc>
      </w:tr>
      <w:tr>
        <w:tc>
          <w:tcPr>
            <w:tcW w:type="dxa" w:w="9638"/>
            <w:shd w:val="clear" w:color="auto" w:fill="FFFFFF"/>
          </w:tcPr>
          <w:p>
            <w:r/>
            <w:r>
              <w:rPr>
                <w:rFonts w:ascii="Calibri" w:hAnsi="Calibri"/>
                <w:b w:val="0"/>
                <w:i w:val="0"/>
                <w:sz w:val="22"/>
              </w:rPr>
              <w:t>• Beperkingen: u ontvangt slechts subsidie voor één type vloerisolatie (bodem óf vloer) en één type dakisolatie (dak óf zoldervloer).</w:t>
            </w:r>
          </w:p>
        </w:tc>
      </w:tr>
      <w:tr>
        <w:tc>
          <w:tcPr>
            <w:tcW w:type="dxa" w:w="9638"/>
            <w:shd w:val="clear" w:color="auto" w:fill="FFFFFF"/>
          </w:tcPr>
          <w:p>
            <w:r/>
            <w:r>
              <w:rPr>
                <w:rFonts w:ascii="Calibri" w:hAnsi="Calibri"/>
                <w:b w:val="0"/>
                <w:i w:val="0"/>
                <w:sz w:val="22"/>
              </w:rPr>
              <w:t>• Oppervlaktes: let op de minimale oppervlakte-eisen (bijv. minimaal 10 m² voor gevel en 20 m² voor dak/vloer).</w:t>
            </w:r>
          </w:p>
        </w:tc>
      </w:tr>
    </w:tbl>
    <w:p w14:paraId="6D6ED4B9" w14:textId="77777777" w:rsidR="0072010A" w:rsidRDefault="0072010A">
      <w:pPr>
        <w:pBdr>
          <w:bottom w:val="single" w:sz="2" w:space="1" w:color="D0D8EC"/>
        </w:pBdr>
        <w:spacing w:before="160" w:after="160"/>
      </w:pPr>
    </w:p>
    <w:p w14:paraId="6D6ED4BA" w14:textId="1A20C285" w:rsidR="0072010A" w:rsidRPr="00DC422D" w:rsidRDefault="00B346C3">
      <w:pPr>
        <w:pStyle w:val="Kop1"/>
        <w:pBdr>
          <w:bottom w:val="single" w:sz="4" w:space="4" w:color="2E6BE6"/>
        </w:pBdr>
        <w:rPr>
          <w:color w:val="5AAA00"/>
        </w:rPr>
      </w:pPr>
      <w:r w:rsidRPr="00DC422D">
        <w:rPr>
          <w:color w:val="5AAA00"/>
        </w:rPr>
        <w:t>Vervolgstappen</w:t>
      </w:r>
    </w:p>
    <w:p w14:paraId="6D6ED4BB" w14:textId="77777777" w:rsidR="0072010A" w:rsidRPr="00721FA8" w:rsidRDefault="00B346C3">
      <w:pPr>
        <w:pStyle w:val="Lijstalinea"/>
        <w:numPr>
          <w:ilvl w:val="0"/>
          <w:numId w:val="2"/>
        </w:numPr>
        <w:spacing w:before="60" w:after="60"/>
        <w:rPr>
          <w:color w:val="FF0000"/>
        </w:rPr>
      </w:pPr>
      <w:r w:rsidRPr="00721FA8">
        <w:rPr>
          <w:color w:val="FF0000"/>
        </w:rPr>
        <w:t>Upload foto’s van dak, gevel, glas, installaties en kruipruimte</w:t>
      </w:r>
    </w:p>
    <w:p w14:paraId="6D6ED4BC" w14:textId="77777777" w:rsidR="0072010A" w:rsidRPr="00721FA8" w:rsidRDefault="00B346C3">
      <w:pPr>
        <w:pStyle w:val="Lijstalinea"/>
        <w:numPr>
          <w:ilvl w:val="0"/>
          <w:numId w:val="2"/>
        </w:numPr>
        <w:spacing w:before="60" w:after="60"/>
        <w:rPr>
          <w:color w:val="FF0000"/>
        </w:rPr>
      </w:pPr>
      <w:r w:rsidRPr="00721FA8">
        <w:rPr>
          <w:color w:val="FF0000"/>
        </w:rPr>
        <w:t>Bevestig woningtype en eventuele renovatiejaren</w:t>
      </w:r>
    </w:p>
    <w:p w14:paraId="6D6ED4BD" w14:textId="77777777" w:rsidR="0072010A" w:rsidRPr="00721FA8" w:rsidRDefault="00B346C3">
      <w:pPr>
        <w:pStyle w:val="Lijstalinea"/>
        <w:numPr>
          <w:ilvl w:val="0"/>
          <w:numId w:val="2"/>
        </w:numPr>
        <w:spacing w:before="60" w:after="60"/>
        <w:rPr>
          <w:color w:val="FF0000"/>
        </w:rPr>
      </w:pPr>
      <w:r w:rsidRPr="00721FA8">
        <w:rPr>
          <w:color w:val="FF0000"/>
        </w:rPr>
        <w:t>Gebruik dit rapport als basis voor offerte- of adviesgesprekken</w:t>
      </w:r>
    </w:p>
    <w:p w14:paraId="6D6ED4BE" w14:textId="77777777" w:rsidR="0072010A" w:rsidRDefault="0072010A">
      <w:pPr>
        <w:spacing w:before="320" w:after="80"/>
      </w:pPr>
    </w:p>
    <w:p>
      <w:pPr>
        <w:spacing w:before="0" w:after="0"/>
      </w:pPr>
      <w:r>
        <w:br w:type="page"/>
      </w:r>
    </w:p>
    <w:tbl>
      <w:tblPr>
        <w:tblW w:w="5000" w:type="pct"/>
        <w:tblBorders>
          <w:top w:val="none"/>
          <w:left w:val="none"/>
          <w:bottom w:val="none"/>
          <w:right w:val="none"/>
          <w:insideH w:val="none"/>
          <w:insideV w:val="none"/>
        </w:tblBorders>
      </w:tblPr>
      <w:tblGrid>
        <w:gridCol w:w="9026"/>
      </w:tblGrid>
      <w:tr>
        <w:trPr>
          <w:trHeight w:val="1100" w:hRule="atLeast"/>
        </w:trPr>
        <w:tc>
          <w:tcPr>
            <w:tcW w:w="5000" w:type="pct"/>
            <w:shd w:val="clear" w:color="auto" w:fill="1A1A1A"/>
            <w:tcMar>
              <w:top w:w="220" w:type="dxa"/>
              <w:left w:w="320" w:type="dxa"/>
              <w:bottom w:w="220" w:type="dxa"/>
              <w:right w:w="320" w:type="dxa"/>
            </w:tcMar>
          </w:tcPr>
          <w:p>
            <w:pPr>
              <w:spacing w:before="0" w:after="60"/>
              <w:shd w:val="clear" w:color="auto" w:fill="1A1A1A"/>
            </w:pPr>
            <w:r>
              <w:rPr>
                <w:b/>
                <w:rFonts w:ascii="Calibri" w:hAnsi="Calibri" w:cs="Calibri"/>
                <w:sz w:val="44"/>
                <w:szCs w:val="44"/>
                <w:color w:val="FFFFFF"/>
              </w:rPr>
              <w:t xml:space="preserve">Pand</w:t>
            </w:r>
            <w:r>
              <w:rPr>
                <w:b/>
                <w:rFonts w:ascii="Calibri" w:hAnsi="Calibri" w:cs="Calibri"/>
                <w:sz w:val="44"/>
                <w:szCs w:val="44"/>
                <w:color w:val="5AAA00"/>
              </w:rPr>
              <w:t xml:space="preserve">IQ</w:t>
            </w:r>
          </w:p>
          <w:p>
            <w:pPr>
              <w:spacing w:before="0" w:after="0"/>
              <w:shd w:val="clear" w:color="auto" w:fill="1A1A1A"/>
            </w:pPr>
            <w:r>
              <w:rPr>
                <w:b/>
                <w:rFonts w:ascii="Calibri" w:hAnsi="Calibri" w:cs="Calibri"/>
                <w:sz w:val="16"/>
                <w:szCs w:val="16"/>
                <w:color w:val="5AAA00"/>
              </w:rPr>
              <w:t xml:space="preserve">WONEN</w:t>
            </w:r>
          </w:p>
        </w:tc>
      </w:tr>
    </w:tbl>
    <w:tbl>
      <w:tblPr>
        <w:tblW w:w="5000" w:type="pct"/>
        <w:tblBorders>
          <w:top w:val="none"/>
          <w:left w:val="none"/>
          <w:bottom w:val="none"/>
          <w:right w:val="none"/>
          <w:insideH w:val="none"/>
          <w:insideV w:val="none"/>
        </w:tblBorders>
      </w:tblPr>
      <w:tblGrid>
        <w:gridCol w:w="9026"/>
      </w:tblGrid>
      <w:tr>
        <w:trPr>
          <w:trHeight w:val="80" w:hRule="atLeast"/>
        </w:trPr>
        <w:tc>
          <w:tcPr>
            <w:tcW w:w="5000" w:type="pct"/>
            <w:shd w:val="clear" w:color="auto" w:fill="D4E832"/>
            <w:tcMar>
              <w:top w:w="220" w:type="dxa"/>
              <w:left w:w="320" w:type="dxa"/>
              <w:bottom w:w="220" w:type="dxa"/>
              <w:right w:w="320" w:type="dxa"/>
            </w:tcMar>
          </w:tcPr>
          <w:p>
            <w:pPr>
              <w:spacing w:before="0" w:after="160"/>
              <w:shd w:val="clear" w:color="auto" w:fill="D4E832"/>
            </w:pPr>
          </w:p>
        </w:tc>
      </w:tr>
    </w:tbl>
    <w:p>
      <w:pPr>
        <w:spacing w:before="400" w:after="0"/>
      </w:pPr>
    </w:p>
    <w:p>
      <w:pPr>
        <w:spacing w:before="0" w:after="100"/>
      </w:pPr>
      <w:r>
        <w:rPr>
          <w:b/>
          <w:rFonts w:ascii="Calibri" w:hAnsi="Calibri" w:cs="Calibri"/>
          <w:sz w:val="44"/>
          <w:szCs w:val="44"/>
          <w:color w:val="1A1A1A"/>
        </w:rPr>
        <w:t xml:space="preserve">Uw regisseur in verduurzaming</w:t>
      </w:r>
    </w:p>
    <w:p>
      <w:pPr>
        <w:spacing w:before="0" w:after="200"/>
      </w:pPr>
      <w:r>
        <w:rPr>
          <w:rFonts w:ascii="Calibri" w:hAnsi="Calibri" w:cs="Calibri"/>
          <w:sz w:val="22"/>
          <w:szCs w:val="22"/>
          <w:color w:val="333333"/>
        </w:rPr>
        <w:t xml:space="preserve">Met de juiste keuzes haalt u meer uit uw woning en uw budget. Door maatregelen slim te combineren kan uw subsidie zelfs verdubbelen.</w:t>
      </w:r>
    </w:p>
    <w:tbl>
      <w:tblPr>
        <w:tblW w:w="5000" w:type="pct"/>
        <w:tblBorders>
          <w:top w:val="none"/>
          <w:left w:val="none"/>
          <w:bottom w:val="none"/>
          <w:right w:val="none"/>
          <w:insideH w:val="none"/>
          <w:insideV w:val="none"/>
        </w:tblBorders>
      </w:tblPr>
      <w:tblGrid>
        <w:gridCol w:w="9026"/>
      </w:tblGrid>
      <w:tr>
        <w:trPr>
          <w:trHeight w:val="400" w:hRule="atLeast"/>
        </w:trPr>
        <w:tc>
          <w:tcPr>
            <w:tcW w:w="5000" w:type="pct"/>
            <w:shd w:val="clear" w:color="auto" w:fill="EEF6E0"/>
            <w:tcMar>
              <w:top w:w="220" w:type="dxa"/>
              <w:left w:w="320" w:type="dxa"/>
              <w:bottom w:w="220" w:type="dxa"/>
              <w:right w:w="320" w:type="dxa"/>
            </w:tcMar>
          </w:tcPr>
          <w:p>
            <w:pPr>
              <w:spacing w:before="0" w:after="0"/>
              <w:shd w:val="clear" w:color="auto" w:fill="EEF6E0"/>
            </w:pPr>
            <w:r>
              <w:rPr>
                <w:rFonts w:ascii="Calibri" w:hAnsi="Calibri" w:cs="Calibri"/>
                <w:sz w:val="22"/>
                <w:szCs w:val="22"/>
                <w:color w:val="1A4A00"/>
              </w:rPr>
              <w:t xml:space="preserve">PandIQ geeft u overzicht en helpt u met het inschatten van bouwkosten, het aanvragen van offertes, subsidieaanvragen en andere besparingen — alles in één dashboard.</w:t>
            </w:r>
          </w:p>
        </w:tc>
      </w:tr>
    </w:tbl>
    <w:p>
      <w:pPr>
        <w:spacing w:before="200" w:after="0"/>
      </w:pPr>
    </w:p>
    <w:p>
      <w:pPr>
        <w:spacing w:before="0" w:after="160"/>
      </w:pPr>
      <w:r>
        <w:rPr>
          <w:rFonts w:ascii="Calibri" w:hAnsi="Calibri" w:cs="Calibri"/>
          <w:sz w:val="22"/>
          <w:szCs w:val="22"/>
          <w:color w:val="333333"/>
        </w:rPr>
        <w:t xml:space="preserve">Maak een account aan en ontdek wat er mogelijk is. Het kost weinig moeite en levert vaak direct voordeel op.</w:t>
      </w:r>
    </w:p>
    <w:p>
      <w:pPr>
        <w:spacing w:before="80" w:after="280"/>
      </w:pPr>
      <w:r>
        <w:rPr>
          <w:b/>
          <w:rFonts w:ascii="Calibri" w:hAnsi="Calibri" w:cs="Calibri"/>
          <w:sz w:val="26"/>
          <w:szCs w:val="26"/>
          <w:color w:val="5AAA00"/>
        </w:rPr>
        <w:t xml:space="preserve">Word geen slapende betaler, maar wees slim en bespaar.</w:t>
      </w:r>
    </w:p>
    <w:tbl>
      <w:tblPr>
        <w:tblW w:w="5000" w:type="pct"/>
        <w:tblBorders>
          <w:top w:val="none"/>
          <w:left w:val="none"/>
          <w:bottom w:val="none"/>
          <w:right w:val="none"/>
          <w:insideH w:val="none"/>
          <w:insideV w:val="none"/>
        </w:tblBorders>
      </w:tblPr>
      <w:tblGrid>
        <w:gridCol w:w="9026"/>
      </w:tblGrid>
      <w:tr>
        <w:trPr>
          <w:trHeight w:val="480" w:hRule="atLeast"/>
        </w:trPr>
        <w:tc>
          <w:tcPr>
            <w:tcW w:w="5000" w:type="pct"/>
            <w:shd w:val="clear" w:color="auto" w:fill="D4E832"/>
            <w:tcMar>
              <w:top w:w="180" w:type="dxa"/>
              <w:left w:w="320" w:type="dxa"/>
              <w:bottom w:w="180" w:type="dxa"/>
              <w:right w:w="320" w:type="dxa"/>
            </w:tcMar>
          </w:tcPr>
          <w:p>
            <w:pPr>
              <w:spacing w:before="0" w:after="0"/>
              <w:shd w:val="clear" w:color="auto" w:fill="D4E832"/>
            </w:pPr>
            <w:r>
              <w:rPr>
                <w:b/>
                <w:rFonts w:ascii="Calibri" w:hAnsi="Calibri" w:cs="Calibri"/>
                <w:sz w:val="22"/>
                <w:szCs w:val="22"/>
                <w:color w:val="1A1A1A"/>
              </w:rPr>
              <w:t xml:space="preserve">Plan een gratis adviesgesprek om de juiste volgorde en besparingen te bepalen</w:t>
            </w:r>
            <w:r>
              <w:rPr>
                <w:b/>
                <w:rFonts w:ascii="Calibri" w:hAnsi="Calibri" w:cs="Calibri"/>
                <w:sz w:val="24"/>
                <w:szCs w:val="24"/>
                <w:color w:val="1A1A1A"/>
              </w:rPr>
              <w:t xml:space="preserve">  →</w:t>
            </w:r>
          </w:p>
          <w:p>
            <w:pPr>
              <w:spacing w:before="0" w:after="0"/>
              <w:shd w:val="clear" w:color="auto" w:fill="D4E832"/>
            </w:pPr>
            <w:r>
              <w:rPr>
                <w:rFonts w:ascii="Calibri" w:hAnsi="Calibri" w:cs="Calibri"/>
                <w:sz w:val="18"/>
                <w:szCs w:val="18"/>
                <w:color w:val="333333"/>
              </w:rPr>
              <w:t xml:space="preserve">https://www.pandiq.nl/advies</w:t>
            </w:r>
          </w:p>
        </w:tc>
      </w:tr>
    </w:tbl>
    <w:p>
      <w:pPr>
        <w:spacing w:before="480" w:after="0"/>
      </w:pPr>
    </w:p>
    <w:p>
      <w:pPr>
        <w:spacing w:before="0" w:after="0"/>
      </w:pPr>
      <w:r>
        <w:rPr>
          <w:i/>
          <w:rFonts w:ascii="Calibri" w:hAnsi="Calibri" w:cs="Calibri"/>
          <w:sz w:val="18"/>
          <w:szCs w:val="18"/>
          <w:color w:val="999999"/>
        </w:rPr>
        <w:t xml:space="preserve">Disclaimer: dit rapport is indicatief en gebaseerd op registraties en aannames. Aan dit document kunnen geen rechten worden ontleend. Uitvoering vereist altijd verificatie op locatie en controle van actuele regelgeving.</w:t>
      </w:r>
    </w:p>
    <w:sectPr w:rsidR="0072010A">
      <w:headerReference w:type="default" r:id="rId10"/>
      <w:footerReference w:type="default" r:id="rId11"/>
      <w:headerReference w:type="first" r:id="rId14"/>
      <w:pgSz w:w="11906" w:h="16838"/>
      <w:pgMar w:top="1134" w:right="1134"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A4AA5" w14:textId="77777777" w:rsidR="00365966" w:rsidRDefault="00365966">
      <w:r>
        <w:separator/>
      </w:r>
    </w:p>
  </w:endnote>
  <w:endnote w:type="continuationSeparator" w:id="0">
    <w:p w14:paraId="769193EB" w14:textId="77777777" w:rsidR="00365966" w:rsidRDefault="003659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ED4C4" w14:textId="77777777" w:rsidR="0072010A" w:rsidRDefault="00B346C3">
    <w:pPr>
      <w:pBdr>
        <w:top w:val="single" w:sz="2" w:space="4" w:color="D0D8EC"/>
      </w:pBdr>
      <w:tabs>
        <w:tab w:val="right" w:pos="9026"/>
      </w:tabs>
      <w:spacing w:before="80"/>
    </w:pPr>
    <w:r>
      <w:rPr>
        <w:color w:val="5A6A85"/>
        <w:sz w:val="16"/>
        <w:szCs w:val="16"/>
      </w:rPr>
      <w:t xml:space="preserve">Indicatief rapport · </w:t>
    </w:r>
    <w:proofErr w:type="spellStart"/>
    <w:r>
      <w:rPr>
        <w:color w:val="5A6A85"/>
        <w:sz w:val="16"/>
        <w:szCs w:val="16"/>
      </w:rPr>
      <w:t>PandIQ</w:t>
    </w:r>
    <w:proofErr w:type="spellEnd"/>
    <w:r>
      <w:rPr>
        <w:color w:val="5A6A85"/>
        <w:sz w:val="16"/>
        <w:szCs w:val="16"/>
      </w:rPr>
      <w:t xml:space="preserve"> · www.pandiq.nl</w:t>
    </w:r>
    <w:r>
      <w:rPr>
        <w:color w:val="5A6A85"/>
        <w:sz w:val="16"/>
        <w:szCs w:val="16"/>
      </w:rPr>
      <w:tab/>
      <w:t xml:space="preserve">Pagina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2396C" w14:textId="77777777" w:rsidR="00365966" w:rsidRDefault="00365966">
      <w:r>
        <w:separator/>
      </w:r>
    </w:p>
  </w:footnote>
  <w:footnote w:type="continuationSeparator" w:id="0">
    <w:p w14:paraId="1533F94D" w14:textId="77777777" w:rsidR="00365966" w:rsidRDefault="003659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6" w:type="dxa"/>
      <w:tblBorders>
        <w:top w:val="none" w:sz="0" w:space="0" w:color="FFFFFF"/>
        <w:left w:val="none" w:sz="0" w:space="0" w:color="FFFFFF"/>
        <w:right w:val="none" w:sz="0" w:space="0" w:color="FFFFFF"/>
        <w:insideH w:val="none" w:sz="0" w:space="0" w:color="FFFFFF"/>
        <w:insideV w:val="none" w:sz="0" w:space="0" w:color="FFFFFF"/>
        <w:bottom w:val="single" w:sz="6" w:space="0" w:color="D4E832"/>
      </w:tblBorders>
      <w:tblCellMar>
        <w:left w:w="10" w:type="dxa"/>
        <w:right w:w="10" w:type="dxa"/>
      </w:tblCellMar>
    </w:tblPr>
    <w:tblGrid>
      <w:gridCol w:w="4513"/>
      <w:gridCol w:w="4513"/>
    </w:tblGrid>
    <w:tr>
      <w:tc>
        <w:tcPr>
          <w:tcW w:w="4513" w:type="dxa"/>
          <w:tcBorders>
            <w:top w:val="none" w:sz="0" w:space="0" w:color="FFFFFF"/>
            <w:left w:val="none" w:sz="0" w:space="0" w:color="FFFFFF"/>
            <w:bottom w:val="none" w:sz="0" w:space="0" w:color="FFFFFF"/>
            <w:right w:val="none" w:sz="0" w:space="0" w:color="FFFFFF"/>
          </w:tcBorders>
          <w:vAlign w:val="center"/>
        </w:tcPr>
        <w:p>
          <w:pPr>
            <w:spacing w:before="0" w:after="0"/>
          </w:pPr>
          <w:r>
            <w:rPr>
              <w:b/>
              <w:rFonts w:ascii="Calibri" w:hAnsi="Calibri" w:cs="Calibri"/>
              <w:sz w:val="28"/>
              <w:szCs w:val="28"/>
              <w:color w:val="1A1A1A"/>
            </w:rPr>
            <w:t xml:space="preserve">Pand</w:t>
          </w:r>
          <w:r>
            <w:rPr>
              <w:b/>
              <w:rFonts w:ascii="Calibri" w:hAnsi="Calibri" w:cs="Calibri"/>
              <w:sz w:val="28"/>
              <w:szCs w:val="28"/>
              <w:color w:val="5AAA00"/>
            </w:rPr>
            <w:t xml:space="preserve">IQ</w:t>
          </w:r>
          <w:r>
            <w:rPr>
              <w:rFonts w:ascii="Calibri" w:hAnsi="Calibri" w:cs="Calibri"/>
              <w:sz w:val="18"/>
              <w:szCs w:val="18"/>
              <w:color w:val="5AAA00"/>
            </w:rPr>
            <w:t xml:space="preserve"> Wonen</w:t>
          </w:r>
        </w:p>
      </w:tc>
      <w:tc>
        <w:tcPr>
          <w:tcW w:w="4513" w:type="dxa"/>
          <w:tcBorders>
            <w:top w:val="none" w:sz="0" w:space="0" w:color="FFFFFF"/>
            <w:left w:val="none" w:sz="0" w:space="0" w:color="FFFFFF"/>
            <w:bottom w:val="none" w:sz="0" w:space="0" w:color="FFFFFF"/>
            <w:right w:val="none" w:sz="0" w:space="0" w:color="FFFFFF"/>
          </w:tcBorders>
          <w:vAlign w:val="center"/>
        </w:tcPr>
        <w:p>
          <w:pPr>
            <w:spacing w:before="0" w:after="0"/>
            <w:jc w:val="right"/>
          </w:pPr>
          <w:r>
            <w:rPr>
              <w:rFonts w:ascii="Calibri" w:hAnsi="Calibri" w:cs="Calibri"/>
              <w:sz w:val="18"/>
              <w:szCs w:val="18"/>
              <w:color w:val="666666"/>
            </w:rPr>
            <w:t xml:space="preserve">Isolatie Quickscan</w:t>
          </w:r>
        </w:p>
      </w:tc>
    </w:tr>
  </w:tbl>
  <w:p>
    <w:pPr>
      <w:spacing w:before="60" w:after="60"/>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3C5B"/>
    <w:multiLevelType w:val="hybridMultilevel"/>
    <w:tmpl w:val="756C1ED6"/>
    <w:lvl w:ilvl="0" w:tplc="61D82B52">
      <w:start w:val="1"/>
      <w:numFmt w:val="bullet"/>
      <w:lvlText w:val="–"/>
      <w:lvlJc w:val="left"/>
      <w:pPr>
        <w:ind w:left="480" w:hanging="240"/>
      </w:pPr>
    </w:lvl>
    <w:lvl w:ilvl="1" w:tplc="4E6049EA">
      <w:numFmt w:val="decimal"/>
      <w:lvlText w:val=""/>
      <w:lvlJc w:val="left"/>
    </w:lvl>
    <w:lvl w:ilvl="2" w:tplc="165662B8">
      <w:numFmt w:val="decimal"/>
      <w:lvlText w:val=""/>
      <w:lvlJc w:val="left"/>
    </w:lvl>
    <w:lvl w:ilvl="3" w:tplc="AE90443A">
      <w:numFmt w:val="decimal"/>
      <w:lvlText w:val=""/>
      <w:lvlJc w:val="left"/>
    </w:lvl>
    <w:lvl w:ilvl="4" w:tplc="CF3CAE08">
      <w:numFmt w:val="decimal"/>
      <w:lvlText w:val=""/>
      <w:lvlJc w:val="left"/>
    </w:lvl>
    <w:lvl w:ilvl="5" w:tplc="FD5AF62C">
      <w:numFmt w:val="decimal"/>
      <w:lvlText w:val=""/>
      <w:lvlJc w:val="left"/>
    </w:lvl>
    <w:lvl w:ilvl="6" w:tplc="9C1C8006">
      <w:numFmt w:val="decimal"/>
      <w:lvlText w:val=""/>
      <w:lvlJc w:val="left"/>
    </w:lvl>
    <w:lvl w:ilvl="7" w:tplc="CD8E6FAA">
      <w:numFmt w:val="decimal"/>
      <w:lvlText w:val=""/>
      <w:lvlJc w:val="left"/>
    </w:lvl>
    <w:lvl w:ilvl="8" w:tplc="35CA16FC">
      <w:numFmt w:val="decimal"/>
      <w:lvlText w:val=""/>
      <w:lvlJc w:val="left"/>
    </w:lvl>
  </w:abstractNum>
  <w:abstractNum w:abstractNumId="1" w15:restartNumberingAfterBreak="0">
    <w:nsid w:val="0A1E623C"/>
    <w:multiLevelType w:val="hybridMultilevel"/>
    <w:tmpl w:val="A930054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4FD55F3A"/>
    <w:multiLevelType w:val="hybridMultilevel"/>
    <w:tmpl w:val="1C36CA24"/>
    <w:lvl w:ilvl="0" w:tplc="6EBA780C">
      <w:start w:val="1"/>
      <w:numFmt w:val="bullet"/>
      <w:lvlText w:val="●"/>
      <w:lvlJc w:val="left"/>
      <w:pPr>
        <w:ind w:left="720" w:hanging="360"/>
      </w:pPr>
    </w:lvl>
    <w:lvl w:ilvl="1" w:tplc="E21AA82C">
      <w:start w:val="1"/>
      <w:numFmt w:val="bullet"/>
      <w:lvlText w:val="○"/>
      <w:lvlJc w:val="left"/>
      <w:pPr>
        <w:ind w:left="1440" w:hanging="360"/>
      </w:pPr>
    </w:lvl>
    <w:lvl w:ilvl="2" w:tplc="12188F48">
      <w:start w:val="1"/>
      <w:numFmt w:val="bullet"/>
      <w:lvlText w:val="■"/>
      <w:lvlJc w:val="left"/>
      <w:pPr>
        <w:ind w:left="2160" w:hanging="360"/>
      </w:pPr>
    </w:lvl>
    <w:lvl w:ilvl="3" w:tplc="2E26D76A">
      <w:start w:val="1"/>
      <w:numFmt w:val="bullet"/>
      <w:lvlText w:val="●"/>
      <w:lvlJc w:val="left"/>
      <w:pPr>
        <w:ind w:left="2880" w:hanging="360"/>
      </w:pPr>
    </w:lvl>
    <w:lvl w:ilvl="4" w:tplc="94C27FB8">
      <w:start w:val="1"/>
      <w:numFmt w:val="bullet"/>
      <w:lvlText w:val="○"/>
      <w:lvlJc w:val="left"/>
      <w:pPr>
        <w:ind w:left="3600" w:hanging="360"/>
      </w:pPr>
    </w:lvl>
    <w:lvl w:ilvl="5" w:tplc="13EE00AC">
      <w:start w:val="1"/>
      <w:numFmt w:val="bullet"/>
      <w:lvlText w:val="■"/>
      <w:lvlJc w:val="left"/>
      <w:pPr>
        <w:ind w:left="4320" w:hanging="360"/>
      </w:pPr>
    </w:lvl>
    <w:lvl w:ilvl="6" w:tplc="011E5D92">
      <w:start w:val="1"/>
      <w:numFmt w:val="bullet"/>
      <w:lvlText w:val="●"/>
      <w:lvlJc w:val="left"/>
      <w:pPr>
        <w:ind w:left="5040" w:hanging="360"/>
      </w:pPr>
    </w:lvl>
    <w:lvl w:ilvl="7" w:tplc="29D4167C">
      <w:start w:val="1"/>
      <w:numFmt w:val="bullet"/>
      <w:lvlText w:val="●"/>
      <w:lvlJc w:val="left"/>
      <w:pPr>
        <w:ind w:left="5760" w:hanging="360"/>
      </w:pPr>
    </w:lvl>
    <w:lvl w:ilvl="8" w:tplc="D72C3D28">
      <w:start w:val="1"/>
      <w:numFmt w:val="bullet"/>
      <w:lvlText w:val="●"/>
      <w:lvlJc w:val="left"/>
      <w:pPr>
        <w:ind w:left="6480" w:hanging="360"/>
      </w:pPr>
    </w:lvl>
  </w:abstractNum>
  <w:abstractNum w:abstractNumId="3" w15:restartNumberingAfterBreak="0">
    <w:nsid w:val="72964827"/>
    <w:multiLevelType w:val="multilevel"/>
    <w:tmpl w:val="7518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7582796">
    <w:abstractNumId w:val="2"/>
    <w:lvlOverride w:ilvl="0">
      <w:startOverride w:val="1"/>
    </w:lvlOverride>
  </w:num>
  <w:num w:numId="2" w16cid:durableId="1070352447">
    <w:abstractNumId w:val="0"/>
    <w:lvlOverride w:ilvl="0">
      <w:startOverride w:val="1"/>
    </w:lvlOverride>
  </w:num>
  <w:num w:numId="3" w16cid:durableId="2021732530">
    <w:abstractNumId w:val="3"/>
  </w:num>
  <w:num w:numId="4" w16cid:durableId="19744089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10A"/>
    <w:rsid w:val="00014EA1"/>
    <w:rsid w:val="00040E3A"/>
    <w:rsid w:val="0005783D"/>
    <w:rsid w:val="00067D34"/>
    <w:rsid w:val="000D2ADD"/>
    <w:rsid w:val="000D3833"/>
    <w:rsid w:val="000F0C75"/>
    <w:rsid w:val="00191ED5"/>
    <w:rsid w:val="001A4658"/>
    <w:rsid w:val="001A4933"/>
    <w:rsid w:val="001B3D68"/>
    <w:rsid w:val="001C4D44"/>
    <w:rsid w:val="001D0978"/>
    <w:rsid w:val="00200AE4"/>
    <w:rsid w:val="00203A55"/>
    <w:rsid w:val="002821A9"/>
    <w:rsid w:val="00332452"/>
    <w:rsid w:val="003358E5"/>
    <w:rsid w:val="0034353F"/>
    <w:rsid w:val="00365966"/>
    <w:rsid w:val="00366BF9"/>
    <w:rsid w:val="003813AC"/>
    <w:rsid w:val="003B162E"/>
    <w:rsid w:val="00417946"/>
    <w:rsid w:val="0042585B"/>
    <w:rsid w:val="0042600F"/>
    <w:rsid w:val="00426C20"/>
    <w:rsid w:val="00440953"/>
    <w:rsid w:val="00482D26"/>
    <w:rsid w:val="004D256F"/>
    <w:rsid w:val="004F5903"/>
    <w:rsid w:val="004F7575"/>
    <w:rsid w:val="005067D6"/>
    <w:rsid w:val="00574344"/>
    <w:rsid w:val="00576084"/>
    <w:rsid w:val="00590594"/>
    <w:rsid w:val="00596724"/>
    <w:rsid w:val="005A7760"/>
    <w:rsid w:val="005C625F"/>
    <w:rsid w:val="00610147"/>
    <w:rsid w:val="00624423"/>
    <w:rsid w:val="00632F02"/>
    <w:rsid w:val="0064326E"/>
    <w:rsid w:val="0068671D"/>
    <w:rsid w:val="006A7AD0"/>
    <w:rsid w:val="00716768"/>
    <w:rsid w:val="0072010A"/>
    <w:rsid w:val="00721FA8"/>
    <w:rsid w:val="007A64CB"/>
    <w:rsid w:val="007F1396"/>
    <w:rsid w:val="00813BD8"/>
    <w:rsid w:val="008152A4"/>
    <w:rsid w:val="00822510"/>
    <w:rsid w:val="00856B11"/>
    <w:rsid w:val="00861B3C"/>
    <w:rsid w:val="00864176"/>
    <w:rsid w:val="008855DA"/>
    <w:rsid w:val="0091286E"/>
    <w:rsid w:val="00930DE9"/>
    <w:rsid w:val="009315C7"/>
    <w:rsid w:val="00A15BCA"/>
    <w:rsid w:val="00A26820"/>
    <w:rsid w:val="00AA34BD"/>
    <w:rsid w:val="00AB7D30"/>
    <w:rsid w:val="00AF5A6E"/>
    <w:rsid w:val="00B17FA0"/>
    <w:rsid w:val="00B26CD3"/>
    <w:rsid w:val="00B346C3"/>
    <w:rsid w:val="00B50E04"/>
    <w:rsid w:val="00B67B2B"/>
    <w:rsid w:val="00BA589C"/>
    <w:rsid w:val="00C94E1F"/>
    <w:rsid w:val="00CE7620"/>
    <w:rsid w:val="00D31BA8"/>
    <w:rsid w:val="00D34072"/>
    <w:rsid w:val="00D426C3"/>
    <w:rsid w:val="00DA7596"/>
    <w:rsid w:val="00DC422D"/>
    <w:rsid w:val="00DD12FD"/>
    <w:rsid w:val="00DE10E6"/>
    <w:rsid w:val="00DE3465"/>
    <w:rsid w:val="00E2056A"/>
    <w:rsid w:val="00E21A44"/>
    <w:rsid w:val="00E33736"/>
    <w:rsid w:val="00E71661"/>
    <w:rsid w:val="00E944A5"/>
    <w:rsid w:val="00EA4F32"/>
    <w:rsid w:val="00FA7628"/>
    <w:rsid w:val="00FC6514"/>
    <w:rsid w:val="00FC792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6ED45E"/>
  <w15:docId w15:val="{4A27CECB-FC2C-4DAF-901A-01D02418B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link w:val="Kop1Char"/>
    <w:uiPriority w:val="9"/>
    <w:qFormat/>
    <w:pPr>
      <w:spacing w:before="280" w:after="140"/>
      <w:outlineLvl w:val="0"/>
    </w:pPr>
    <w:rPr>
      <w:b/>
      <w:bCs/>
      <w:color w:val="0B1F3A"/>
      <w:sz w:val="28"/>
      <w:szCs w:val="28"/>
    </w:rPr>
  </w:style>
  <w:style w:type="paragraph" w:styleId="Kop2">
    <w:name w:val="heading 2"/>
    <w:uiPriority w:val="9"/>
    <w:semiHidden/>
    <w:unhideWhenUsed/>
    <w:qFormat/>
    <w:pPr>
      <w:spacing w:before="160" w:after="80"/>
      <w:outlineLvl w:val="1"/>
    </w:pPr>
    <w:rPr>
      <w:b/>
      <w:bCs/>
      <w:color w:val="2E6BE6"/>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paragraph" w:styleId="Koptekst">
    <w:name w:val="header"/>
    <w:basedOn w:val="Standaard"/>
    <w:link w:val="KoptekstChar"/>
    <w:uiPriority w:val="99"/>
    <w:unhideWhenUsed/>
    <w:rsid w:val="00D34072"/>
    <w:pPr>
      <w:tabs>
        <w:tab w:val="center" w:pos="4536"/>
        <w:tab w:val="right" w:pos="9072"/>
      </w:tabs>
    </w:pPr>
  </w:style>
  <w:style w:type="character" w:customStyle="1" w:styleId="KoptekstChar">
    <w:name w:val="Koptekst Char"/>
    <w:basedOn w:val="Standaardalinea-lettertype"/>
    <w:link w:val="Koptekst"/>
    <w:uiPriority w:val="99"/>
    <w:rsid w:val="00D34072"/>
  </w:style>
  <w:style w:type="paragraph" w:styleId="Voettekst">
    <w:name w:val="footer"/>
    <w:basedOn w:val="Standaard"/>
    <w:link w:val="VoettekstChar"/>
    <w:uiPriority w:val="99"/>
    <w:unhideWhenUsed/>
    <w:rsid w:val="00D34072"/>
    <w:pPr>
      <w:tabs>
        <w:tab w:val="center" w:pos="4536"/>
        <w:tab w:val="right" w:pos="9072"/>
      </w:tabs>
    </w:pPr>
  </w:style>
  <w:style w:type="character" w:customStyle="1" w:styleId="VoettekstChar">
    <w:name w:val="Voettekst Char"/>
    <w:basedOn w:val="Standaardalinea-lettertype"/>
    <w:link w:val="Voettekst"/>
    <w:uiPriority w:val="99"/>
    <w:rsid w:val="00D34072"/>
  </w:style>
  <w:style w:type="character" w:customStyle="1" w:styleId="Kop1Char">
    <w:name w:val="Kop 1 Char"/>
    <w:basedOn w:val="Standaardalinea-lettertype"/>
    <w:link w:val="Kop1"/>
    <w:uiPriority w:val="9"/>
    <w:rsid w:val="00B346C3"/>
    <w:rPr>
      <w:b/>
      <w:bCs/>
      <w:color w:val="0B1F3A"/>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2.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7</Pages>
  <Words>592</Words>
  <Characters>3259</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Marc Staal</cp:lastModifiedBy>
  <cp:revision>68</cp:revision>
  <dcterms:created xsi:type="dcterms:W3CDTF">2026-03-19T12:48:00Z</dcterms:created>
  <dcterms:modified xsi:type="dcterms:W3CDTF">2026-04-06T08:36:00Z</dcterms:modified>
</cp:coreProperties>
</file>