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one"/>
          <w:left w:val="none"/>
          <w:bottom w:val="none"/>
          <w:right w:val="none"/>
          <w:insideH w:val="none"/>
          <w:insideV w:val="none"/>
        </w:tblBorders>
      </w:tblPr>
      <w:tblGrid>
        <w:gridCol w:w="9026"/>
      </w:tblGrid>
      <w:tr>
        <w:trPr>
          <w:trHeight w:val="1600" w:hRule="atLeast"/>
        </w:trPr>
        <w:tc>
          <w:tcPr>
            <w:tcW w:w="5000" w:type="pct"/>
            <w:shd w:val="clear" w:color="auto" w:fill="1A1A1A"/>
            <w:tcMar>
              <w:top w:w="240" w:type="dxa"/>
              <w:left w:w="360" w:type="dxa"/>
              <w:bottom w:w="240" w:type="dxa"/>
              <w:right w:w="360" w:type="dxa"/>
            </w:tcMar>
          </w:tcPr>
          <w:p>
            <w:pPr>
              <w:spacing w:before="0" w:after="80"/>
              <w:shd w:val="clear" w:color="auto" w:fill="1A1A1A"/>
            </w:pPr>
            <w:r>
              <w:rPr>
                <w:b/>
                <w:rFonts w:ascii="Calibri" w:hAnsi="Calibri" w:cs="Calibri"/>
                <w:sz w:val="60"/>
                <w:szCs w:val="60"/>
                <w:color w:val="FFFFFF"/>
              </w:rPr>
              <w:t xml:space="preserve">Pand</w:t>
            </w:r>
            <w:r>
              <w:rPr>
                <w:b/>
                <w:rFonts w:ascii="Calibri" w:hAnsi="Calibri" w:cs="Calibri"/>
                <w:sz w:val="60"/>
                <w:szCs w:val="60"/>
                <w:color w:val="5AAA00"/>
              </w:rPr>
              <w:t xml:space="preserve">IQ</w:t>
            </w:r>
          </w:p>
          <w:p>
            <w:pPr>
              <w:spacing w:before="0" w:after="0"/>
              <w:shd w:val="clear" w:color="auto" w:fill="1A1A1A"/>
            </w:pPr>
            <w:r>
              <w:rPr>
                <w:b/>
                <w:rFonts w:ascii="Calibri" w:hAnsi="Calibri" w:cs="Calibri"/>
                <w:sz w:val="18"/>
                <w:szCs w:val="18"/>
                <w:color w:val="5AAA00"/>
                <w:spacing w:val="40"/>
              </w:rPr>
              <w:t xml:space="preserve">WONEN</w:t>
            </w:r>
          </w:p>
        </w:tc>
      </w:tr>
    </w:tbl>
    <w:tbl>
      <w:tblPr>
        <w:tblW w:w="5000" w:type="pct"/>
        <w:tblBorders>
          <w:top w:val="none"/>
          <w:left w:val="none"/>
          <w:bottom w:val="none"/>
          <w:right w:val="none"/>
          <w:insideH w:val="none"/>
          <w:insideV w:val="none"/>
        </w:tblBorders>
      </w:tblPr>
      <w:tblGrid>
        <w:gridCol w:w="9026"/>
      </w:tblGrid>
      <w:tr>
        <w:trPr>
          <w:trHeight w:val="100" w:hRule="atLeast"/>
        </w:trPr>
        <w:tc>
          <w:tcPr>
            <w:tcW w:w="5000" w:type="pct"/>
            <w:shd w:val="clear" w:color="auto" w:fill="D4E832"/>
            <w:tcMar>
              <w:top w:w="240" w:type="dxa"/>
              <w:left w:w="360" w:type="dxa"/>
              <w:bottom w:w="240" w:type="dxa"/>
              <w:right w:w="360" w:type="dxa"/>
            </w:tcMar>
          </w:tcPr>
          <w:p>
            <w:pPr>
              <w:spacing w:before="0" w:after="0"/>
              <w:shd w:val="clear" w:color="auto" w:fill="D4E832"/>
            </w:pPr>
          </w:p>
        </w:tc>
      </w:tr>
    </w:tbl>
    <w:p>
      <w:pPr>
        <w:spacing w:before="600" w:after="0"/>
      </w:pPr>
    </w:p>
    <w:p>
      <w:pPr>
        <w:spacing w:before="0" w:after="120"/>
      </w:pPr>
      <w:r>
        <w:rPr>
          <w:b/>
          <w:rFonts w:ascii="Calibri" w:hAnsi="Calibri" w:cs="Calibri"/>
          <w:sz w:val="64"/>
          <w:szCs w:val="64"/>
          <w:color w:val="1A1A1A"/>
        </w:rPr>
        <w:t xml:space="preserve">Isolatie Quickscan</w:t>
      </w:r>
    </w:p>
    <w:p>
      <w:pPr>
        <w:spacing w:before="0" w:after="0"/>
      </w:pPr>
      <w:r>
        <w:rPr>
          <w:rFonts w:ascii="Calibri" w:hAnsi="Calibri" w:cs="Calibri"/>
          <w:sz w:val="26"/>
          <w:szCs w:val="26"/>
          <w:color w:val="666666"/>
        </w:rPr>
        <w:t xml:space="preserve">Energierapport verduurzaming</w:t>
      </w:r>
    </w:p>
    <w:p>
      <w:pPr>
        <w:spacing w:before="640" w:after="0"/>
      </w:pPr>
    </w:p>
    <w:p>
      <w:pPr>
        <w:spacing w:before="0" w:after="80"/>
      </w:pPr>
      <w:r>
        <w:rPr>
          <w:b/>
          <w:rFonts w:ascii="Calibri" w:hAnsi="Calibri" w:cs="Calibri"/>
          <w:sz w:val="28"/>
          <w:szCs w:val="28"/>
          <w:color w:val="1A1A1A"/>
        </w:rPr>
        <w:t xml:space="preserve">Teststraat 1, 8501BR TEST</w:t>
      </w:r>
    </w:p>
    <w:p>
      <w:pPr>
        <w:spacing w:before="0" w:after="0"/>
      </w:pPr>
      <w:r>
        <w:rPr>
          <w:rFonts w:ascii="Calibri" w:hAnsi="Calibri" w:cs="Calibri"/>
          <w:sz w:val="22"/>
          <w:szCs w:val="22"/>
          <w:color w:val="666666"/>
        </w:rPr>
        <w:t xml:space="preserve">11 april 2026</w:t>
      </w:r>
    </w:p>
    <w:p>
      <w:pPr>
        <w:spacing w:before="800" w:after="0"/>
      </w:pPr>
    </w:p>
    <w:p>
      <w:pPr>
        <w:spacing w:before="0" w:after="0"/>
      </w:pPr>
      <w:r>
        <w:rPr>
          <w:rFonts w:ascii="Calibri" w:hAnsi="Calibri" w:cs="Calibri"/>
          <w:sz w:val="18"/>
          <w:szCs w:val="18"/>
          <w:color w:val="999999"/>
        </w:rPr>
        <w:t xml:space="preserve">Indicatief rapport op basis van openbare registraties (BAG &amp; EP-Online)</w:t>
      </w:r>
    </w:p>
    <w:p>
      <w:pPr>
        <w:spacing w:before="0" w:after="0"/>
      </w:pPr>
      <w:r>
        <w:br w:type="page"/>
      </w:r>
    </w:p>
    <w:p w14:paraId="0C23B77F" w14:textId="453118D2" w:rsidR="00B346C3" w:rsidRPr="00DC422D" w:rsidRDefault="00B346C3" w:rsidP="00B346C3">
      <w:pPr>
        <w:pStyle w:val="Kop1"/>
        <w:pBdr>
          <w:bottom w:val="single" w:sz="4" w:space="4" w:color="2E6BE6"/>
        </w:pBdr>
        <w:rPr>
          <w:color w:val="5AAA00"/>
        </w:rPr>
      </w:pPr>
      <w:r w:rsidRPr="00DC422D">
        <w:rPr>
          <w:color w:val="5AAA00"/>
        </w:rPr>
        <w:lastRenderedPageBreak/>
        <w:t>Interpretatie en context</w:t>
      </w:r>
    </w:p>
    <w:p w14:paraId="51434200" w14:textId="77777777" w:rsidR="00B346C3" w:rsidRPr="00DC422D" w:rsidRDefault="00B346C3" w:rsidP="00B346C3">
      <w:pPr>
        <w:spacing w:before="160" w:after="80"/>
        <w:rPr>
          <w:color w:val="5AAA00"/>
        </w:rPr>
      </w:pPr>
      <w:r w:rsidRPr="00DC422D">
        <w:rPr>
          <w:b/>
          <w:bCs/>
          <w:color w:val="5AAA00"/>
        </w:rPr>
        <w:t>Gebouwprofiel</w:t>
      </w:r>
    </w:p>
    <w:p w14:paraId="1C47E30D" w14:textId="77777777" w:rsidR="00B346C3" w:rsidRDefault="00B346C3" w:rsidP="00B346C3">
      <w:pPr>
        <w:spacing w:before="60" w:after="160"/>
        <w:rPr>
          <w:color w:val="1A2340"/>
        </w:rPr>
      </w:pPr>
      <w:r>
        <w:rPr>
          <w:color w:val="1A2340"/>
        </w:rPr>
        <w:t xml:space="preserve">Let op: voor uw woning is geen actueel energielabel gevonden in EP-Online. De onderstaande scores zijn indicatief op basis van bouwjaar 1965 en vergelijkbare woningen uit dezelfde periode. Uw woning uit 1965 (tussenwoning) heeft op alle vier onderdelen een significant verbeterpotentieel (gemiddelde score: 4.0/5). De meest kansrijke eerste maatregel om te onderzoeken is gevelisolatie (gevel, score 4/5): indicatief bespaart u €403–€545 per jaar en is de terugverdientijd indicatief circa 6–19 jaar na ISDE-subsidie. Uw indicatieve ISDE-subsidie voor de meest kansrijke maatregelen samen: tot €2,143. Bereken uw persoonlijke subsidie en vraag een vrijblijvend adviesgesprek aan via www.pandiq.nl/subsidie.</w:t>
      </w:r>
      <w:proofErr w:type="spellStart"/>
      <w:r>
        <w:rPr>
          <w:color w:val="1A2340"/>
        </w:rPr>
        <w:t/>
      </w:r>
      <w:proofErr w:type="spellEnd"/>
      <w:r>
        <w:rPr>
          <w:color w:val="1A2340"/>
        </w:rPr>
        <w:t/>
      </w:r>
    </w:p>
    <w:p>
      <w:pPr>
        <w:spacing w:before="120" w:after="120"/>
        <w:rPr>
          <w:color w:val="1A2340"/>
        </w:rPr>
      </w:pPr>
    </w:p>
    <w:p>
      <w:pPr>
        <w:spacing w:before="60" w:after="160"/>
        <w:rPr>
          <w:color w:val="1A2340"/>
        </w:rPr>
      </w:pPr>
      <w:r>
        <w:rPr>
          <w:color w:val="1A2340"/>
        </w:rPr>
        <w:t xml:space="preserve">Dit rapport is opgesteld op basis van openbare registraties (BAG en EP-Online) voor Teststraat 1, 8501BR TEST. Het betreft een tussenwoning. De woning is gebouwd in 1965.</w:t>
      </w:r>
    </w:p>
    <w:p w14:paraId="09706817" w14:textId="77777777" w:rsidR="000D3833" w:rsidRDefault="000D3833" w:rsidP="00B346C3">
      <w:pPr>
        <w:spacing w:before="60" w:after="160"/>
      </w:pPr>
    </w:p>
    <w:p w14:paraId="0CDE3687" w14:textId="77777777" w:rsidR="00B346C3" w:rsidRDefault="00B346C3" w:rsidP="001A4658">
      <w:pPr>
        <w:pBdr>
          <w:bottom w:val="single" w:sz="2" w:space="0" w:color="D0D8EC"/>
        </w:pBdr>
        <w:spacing w:before="160" w:after="160"/>
      </w:pPr>
    </w:p>
    <w:p w14:paraId="43DE937D" w14:textId="77777777" w:rsidR="00B346C3" w:rsidRPr="00DC422D" w:rsidRDefault="00B346C3" w:rsidP="00B346C3">
      <w:pPr>
        <w:spacing w:before="160" w:after="80"/>
        <w:rPr>
          <w:color w:val="5AAA00"/>
        </w:rPr>
      </w:pPr>
      <w:r w:rsidRPr="00DC422D">
        <w:rPr>
          <w:b/>
          <w:bCs/>
          <w:color w:val="5AAA00"/>
        </w:rPr>
        <w:t>Energieprestatie</w:t>
      </w:r>
    </w:p>
    <w:p w14:paraId="49A18587" w14:textId="52D4F140" w:rsidR="00482D26" w:rsidRPr="00D31BA8" w:rsidRDefault="00482D26" w:rsidP="00482D26">
      <w:pPr>
        <w:spacing w:before="60" w:after="160"/>
      </w:pPr>
      <w:r w:rsidRPr="00D31BA8">
        <w:t>De energieprestatie van uw woning wordt onder andere bepaald door twee begrippen: energiebehoefte en warmtebehoefte.</w:t>
      </w:r>
    </w:p>
    <w:p w14:paraId="548C63C9" w14:textId="77777777" w:rsidR="00482D26" w:rsidRPr="00D31BA8" w:rsidRDefault="00482D26" w:rsidP="00482D26">
      <w:pPr>
        <w:spacing w:before="60" w:after="160"/>
      </w:pPr>
      <w:r w:rsidRPr="00D31BA8">
        <w:rPr>
          <w:b/>
          <w:bCs/>
        </w:rPr>
        <w:t>Warmtebehoefte</w:t>
      </w:r>
      <w:r w:rsidRPr="00D31BA8">
        <w:t xml:space="preserve"> geeft aan hoeveel warmte uw woning nodig heeft om comfortabel op temperatuur te blijven. Dit zegt vooral iets over de kwaliteit van de isolatie en de gebouwschil.</w:t>
      </w:r>
    </w:p>
    <w:p w14:paraId="28DCFB66" w14:textId="77777777" w:rsidR="00482D26" w:rsidRPr="00D31BA8" w:rsidRDefault="00482D26" w:rsidP="00482D26">
      <w:pPr>
        <w:spacing w:before="60" w:after="160"/>
      </w:pPr>
      <w:r w:rsidRPr="00D31BA8">
        <w:rPr>
          <w:b/>
          <w:bCs/>
        </w:rPr>
        <w:t>Energiebehoefte</w:t>
      </w:r>
      <w:r w:rsidRPr="00D31BA8">
        <w:t xml:space="preserve"> is breder en omvat het totale energieverbruik van de woning. Dit is dus inclusief verwarming, maar ook warm water en ventilatie.</w:t>
      </w:r>
    </w:p>
    <w:p w14:paraId="40A548AE" w14:textId="1B3E0D93" w:rsidR="00482D26" w:rsidRPr="00482D26" w:rsidRDefault="00482D26" w:rsidP="00482D26">
      <w:pPr>
        <w:spacing w:before="60" w:after="160"/>
        <w:rPr>
          <w:color w:val="1A2340"/>
        </w:rPr>
      </w:pPr>
      <w:r w:rsidRPr="00482D26">
        <w:rPr>
          <w:color w:val="1A2340"/>
        </w:rPr>
        <w:t>Kort gezegd:</w:t>
      </w:r>
    </w:p>
    <w:p w14:paraId="1FE1FFC6" w14:textId="77777777" w:rsidR="00482D26" w:rsidRPr="00482D26" w:rsidRDefault="00482D26" w:rsidP="00482D26">
      <w:pPr>
        <w:numPr>
          <w:ilvl w:val="0"/>
          <w:numId w:val="3"/>
        </w:numPr>
        <w:spacing w:before="60" w:after="160"/>
        <w:rPr>
          <w:color w:val="1A2340"/>
        </w:rPr>
      </w:pPr>
      <w:r w:rsidRPr="00482D26">
        <w:rPr>
          <w:color w:val="1A2340"/>
        </w:rPr>
        <w:t xml:space="preserve">Warmtebehoefte = hoe goed uw woning warmte vasthoudt </w:t>
      </w:r>
    </w:p>
    <w:p w14:paraId="3C1E0A20" w14:textId="77777777" w:rsidR="00482D26" w:rsidRPr="00482D26" w:rsidRDefault="00482D26" w:rsidP="00482D26">
      <w:pPr>
        <w:numPr>
          <w:ilvl w:val="0"/>
          <w:numId w:val="3"/>
        </w:numPr>
        <w:spacing w:before="60" w:after="160"/>
        <w:rPr>
          <w:color w:val="1A2340"/>
        </w:rPr>
      </w:pPr>
      <w:r w:rsidRPr="00482D26">
        <w:rPr>
          <w:color w:val="1A2340"/>
        </w:rPr>
        <w:t>Energiebehoefte = hoeveel energie u totaal nodig heeft</w:t>
      </w:r>
    </w:p>
    <w:p w14:paraId="7C56FC14" w14:textId="4C66CD3C" w:rsidR="00E71661" w:rsidRDefault="001D0978" w:rsidP="00E71661">
      <w:pPr>
        <w:pBdr>
          <w:bottom w:val="single" w:sz="2" w:space="0" w:color="D0D8EC"/>
        </w:pBdr>
        <w:spacing w:before="160" w:after="160"/>
        <w:rPr>
          <w:color w:val="1A2340"/>
        </w:rPr>
      </w:pPr>
      <w:r>
        <w:rPr>
          <w:color w:val="1A2340"/>
        </w:rPr>
        <w:br/>
        <w:t xml:space="preserve">Uw woning:Er zijn geen EP-Online kengetallen beschikbaar voor deze woning. De energieprestatie kan daardoor niet automatisch worden geduid. Een maatwerkadvies geeft hier meer inzicht.</w:t>
      </w:r>
      <w:r w:rsidRPr="001D0978">
        <w:rPr>
          <w:b/>
          <w:bCs/>
          <w:color w:val="1A2340"/>
        </w:rPr>
        <w:t/>
      </w:r>
      <w:r>
        <w:rPr>
          <w:b/>
          <w:bCs/>
          <w:color w:val="1A2340"/>
        </w:rPr>
        <w:t/>
      </w:r>
      <w:r w:rsidR="00482D26">
        <w:rPr>
          <w:color w:val="1A2340"/>
        </w:rPr>
        <w:br/>
      </w:r>
      <w:r w:rsidR="00482D26">
        <w:rPr>
          <w:color w:val="1A2340"/>
        </w:rPr>
        <w:br/>
      </w:r>
      <w:r w:rsidR="00B346C3">
        <w:rPr>
          <w:color w:val="1A2340"/>
        </w:rPr>
        <w:t/>
      </w:r>
      <w:proofErr w:type="spellStart"/>
      <w:r w:rsidR="00B346C3">
        <w:rPr>
          <w:color w:val="1A2340"/>
        </w:rPr>
        <w:t/>
      </w:r>
      <w:proofErr w:type="spellEnd"/>
      <w:r w:rsidR="00B346C3">
        <w:rPr>
          <w:color w:val="1A2340"/>
        </w:rPr>
        <w:t/>
      </w:r>
    </w:p>
    <w:p w14:paraId="056A4AC1" w14:textId="77777777" w:rsidR="00856B11" w:rsidRDefault="00856B11" w:rsidP="00E71661">
      <w:pPr>
        <w:pBdr>
          <w:bottom w:val="single" w:sz="2" w:space="0" w:color="D0D8EC"/>
        </w:pBdr>
        <w:spacing w:before="160" w:after="160"/>
      </w:pPr>
    </w:p>
    <w:p w14:paraId="67735812" w14:textId="30117A9C" w:rsidR="004F5903" w:rsidRPr="00DC422D" w:rsidRDefault="004F5903" w:rsidP="00E71661">
      <w:pPr>
        <w:spacing w:before="60" w:after="160"/>
        <w:rPr>
          <w:b/>
          <w:bCs/>
          <w:color w:val="5AAA00"/>
        </w:rPr>
      </w:pPr>
      <w:r w:rsidRPr="00DC422D">
        <w:rPr>
          <w:b/>
          <w:bCs/>
          <w:color w:val="5AAA00"/>
        </w:rPr>
        <w:t>Basis en totstandkoming van dit rapport</w:t>
      </w:r>
    </w:p>
    <w:p w14:paraId="3D1B82C7" w14:textId="77777777" w:rsidR="00332452" w:rsidRDefault="004F5903" w:rsidP="004F5903">
      <w:pPr>
        <w:spacing w:before="60" w:after="160"/>
        <w:rPr>
          <w:color w:val="1A2340"/>
        </w:rPr>
      </w:pPr>
      <w:r w:rsidRPr="004F5903">
        <w:rPr>
          <w:color w:val="1A2340"/>
        </w:rPr>
        <w:t xml:space="preserve">Dit rapport is automatisch samengesteld op basis van openbare gegevens uit onder andere de Basisregistratie Adressen en Gebouwen (BAG) en EP-online, aangevuld met algemene kennis en praktijkervaring op het gebied van verduurzaming. Op basis hiervan is een inschatting gemaakt van het gebouwprofiel en mogelijke verbeterkansen. </w:t>
      </w:r>
    </w:p>
    <w:p w14:paraId="6DB96B8C" w14:textId="77777777" w:rsidR="001C4D44" w:rsidRDefault="004F5903" w:rsidP="004F5903">
      <w:pPr>
        <w:spacing w:before="60" w:after="160"/>
        <w:rPr>
          <w:color w:val="1A2340"/>
        </w:rPr>
      </w:pPr>
      <w:r w:rsidRPr="004F5903">
        <w:rPr>
          <w:color w:val="1A2340"/>
        </w:rPr>
        <w:t>De informatie is bedoeld als eerste inzicht en kan afwijken van de werkelijke situatie. Wij adviseren om v</w:t>
      </w:r>
      <w:r w:rsidR="001C4D44">
        <w:rPr>
          <w:color w:val="1A2340"/>
        </w:rPr>
        <w:t>oo</w:t>
      </w:r>
      <w:r w:rsidRPr="004F5903">
        <w:rPr>
          <w:color w:val="1A2340"/>
        </w:rPr>
        <w:t xml:space="preserve">r het nemen van beslissingen aanvullend onderzoek te doen. </w:t>
      </w:r>
    </w:p>
    <w:p w14:paraId="4F069FA7" w14:textId="609F5098" w:rsidR="004F5903" w:rsidRPr="004F5903" w:rsidRDefault="004F5903" w:rsidP="004F5903">
      <w:pPr>
        <w:spacing w:before="60" w:after="160"/>
        <w:rPr>
          <w:color w:val="1A2340"/>
        </w:rPr>
      </w:pPr>
      <w:r w:rsidRPr="004F5903">
        <w:rPr>
          <w:color w:val="1A2340"/>
        </w:rPr>
        <w:t>Aan dit rapport kunnen geen rechten worden ontleend</w:t>
      </w:r>
      <w:r w:rsidR="001C4D44">
        <w:rPr>
          <w:color w:val="1A2340"/>
        </w:rPr>
        <w:t>,</w:t>
      </w:r>
      <w:r w:rsidRPr="004F5903">
        <w:rPr>
          <w:color w:val="1A2340"/>
        </w:rPr>
        <w:t xml:space="preserve"> de gegevens kunnen onvolledig of onjuist zijn en </w:t>
      </w:r>
      <w:proofErr w:type="spellStart"/>
      <w:r w:rsidRPr="004F5903">
        <w:rPr>
          <w:color w:val="1A2340"/>
        </w:rPr>
        <w:t>PandIQ</w:t>
      </w:r>
      <w:proofErr w:type="spellEnd"/>
      <w:r w:rsidRPr="004F5903">
        <w:rPr>
          <w:color w:val="1A2340"/>
        </w:rPr>
        <w:t xml:space="preserve"> is niet aansprakelijk voor eventuele fouten of gevolgen van gebruik.</w:t>
      </w:r>
    </w:p>
    <w:p w14:paraId="12EECA49" w14:textId="79294D01" w:rsidR="004F5903" w:rsidRDefault="007A64CB">
      <w:pPr>
        <w:rPr>
          <w:b/>
          <w:bCs/>
          <w:color w:val="0B1F3A"/>
          <w:sz w:val="28"/>
          <w:szCs w:val="28"/>
        </w:rPr>
      </w:pPr>
      <w:r>
        <w:rPr>
          <w:b/>
          <w:bCs/>
          <w:color w:val="0B1F3A"/>
          <w:sz w:val="28"/>
          <w:szCs w:val="28"/>
        </w:rPr>
        <w:br w:type="page"/>
      </w:r>
    </w:p>
    <w:p w14:paraId="3D941061" w14:textId="77777777" w:rsidR="00B346C3" w:rsidRDefault="00B346C3">
      <w:pPr>
        <w:rPr>
          <w:b/>
          <w:bCs/>
          <w:color w:val="0B1F3A"/>
          <w:sz w:val="28"/>
          <w:szCs w:val="28"/>
        </w:rPr>
      </w:pPr>
    </w:p>
    <w:p w14:paraId="6D6ED468" w14:textId="5CED601F" w:rsidR="0072010A" w:rsidRPr="00DD12FD" w:rsidRDefault="00B346C3">
      <w:pPr>
        <w:pStyle w:val="Kop1"/>
        <w:pBdr>
          <w:bottom w:val="single" w:sz="4" w:space="4" w:color="2E6BE6"/>
        </w:pBdr>
        <w:rPr>
          <w:color w:val="2E6BE6"/>
        </w:rPr>
      </w:pPr>
      <w:r w:rsidRPr="00DC422D">
        <w:rPr>
          <w:color w:val="5AAA00"/>
        </w:rPr>
        <w:t>Woninggegevens</w:t>
      </w:r>
    </w:p>
    <w:p w14:paraId="6D6ED469" w14:textId="77777777" w:rsidR="0072010A" w:rsidRPr="00D31BA8" w:rsidRDefault="00B346C3">
      <w:pPr>
        <w:spacing w:before="60" w:after="60"/>
      </w:pPr>
      <w:r w:rsidRPr="00D31BA8">
        <w:t>Onderstaande gegevens zijn afkomstig uit de Basisregistratie Adressen en Gebouwen (BAG) en de landelijke energielabelregistratie EP-Online.</w:t>
      </w:r>
    </w:p>
    <w:p w14:paraId="6D6ED46A" w14:textId="77777777" w:rsidR="0072010A" w:rsidRDefault="0072010A">
      <w:pPr>
        <w:spacing w:before="120" w:after="120"/>
      </w:pPr>
    </w:p>
    <w:tbl>
      <w:tblPr>
        <w:tblW w:w="5245" w:type="dxa"/>
        <w:tblBorders>
          <w:top w:val="single" w:sz="4" w:space="0" w:color="FFFFFF" w:themeColor="background1"/>
          <w:bottom w:val="single" w:sz="4" w:space="0" w:color="FFFFFF" w:themeColor="background1"/>
          <w:insideH w:val="single" w:sz="4" w:space="0" w:color="FFFFFF" w:themeColor="background1"/>
        </w:tblBorders>
        <w:tblCellMar>
          <w:left w:w="10" w:type="dxa"/>
          <w:right w:w="10" w:type="dxa"/>
        </w:tblCellMar>
        <w:tblLook w:val="0000" w:firstRow="0" w:lastRow="0" w:firstColumn="0" w:lastColumn="0" w:noHBand="0" w:noVBand="0"/>
      </w:tblPr>
      <w:tblGrid>
        <w:gridCol w:w="2410"/>
        <w:gridCol w:w="2835"/>
      </w:tblGrid>
      <w:tr>
        <w:tc>
          <w:tcPr>
            <w:gridSpan w:val="2"/>
            <w:shd w:val="clear" w:color="auto" w:fill="5AAA00"/>
          </w:tcPr>
          <w:p>
            <w:r>
              <w:rPr>
                <w:rFonts w:ascii="Calibri" w:hAnsi="Calibri" w:cs="Calibri"/>
                <w:b/>
                <w:color w:val="FFFFFF"/>
                <w:sz w:val="22"/>
                <w:szCs w:val="22"/>
              </w:rPr>
              <w:t>Woninggegevens</w:t>
            </w:r>
          </w:p>
        </w:tc>
      </w:tr>
      <w:tr w:rsidR="0072010A" w14:paraId="6D6ED46D" w14:textId="77777777" w:rsidTr="00AF5A6E">
        <w:tc>
          <w:tcPr>
            <w:tcW w:w="2410"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6B" w14:textId="77777777" w:rsidR="0072010A" w:rsidRPr="00AF5A6E" w:rsidRDefault="00B346C3">
            <w:r w:rsidRPr="00AF5A6E">
              <w:rPr>
                <w:rFonts w:ascii="Calibri" w:hAnsi="Calibri"/>
                <w:b/>
                <w:bCs/>
                <w:color w:val="1F2937"/>
                <w:sz w:val="22"/>
                <w:szCs w:val="20"/>
              </w:rPr>
              <w:t>Adres</w:t>
            </w:r>
          </w:p>
        </w:tc>
        <w:tc>
          <w:tcPr>
            <w:tcW w:w="2835"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6C" w14:textId="77777777" w:rsidR="0072010A" w:rsidRDefault="00B346C3">
            <w:r>
              <w:rPr>
                <w:rFonts w:ascii="Calibri" w:hAnsi="Calibri"/>
                <w:b w:val="0"/>
                <w:color w:val="1F2937"/>
                <w:sz w:val="22"/>
              </w:rPr>
              <w:t xml:space="preserve">Teststraat 1, 8501BR TEST</w:t>
            </w:r>
          </w:p>
        </w:tc>
      </w:tr>
      <w:tr w:rsidR="0072010A" w14:paraId="6D6ED470" w14:textId="77777777" w:rsidTr="00AF5A6E">
        <w:tc>
          <w:tcPr>
            <w:tcW w:w="2410"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6E" w14:textId="77777777" w:rsidR="0072010A" w:rsidRPr="00AF5A6E" w:rsidRDefault="00B346C3">
            <w:r w:rsidRPr="00AF5A6E">
              <w:rPr>
                <w:rFonts w:ascii="Calibri" w:hAnsi="Calibri"/>
                <w:b/>
                <w:bCs/>
                <w:color w:val="1F2937"/>
                <w:sz w:val="22"/>
                <w:szCs w:val="20"/>
              </w:rPr>
              <w:t>Datum rapport</w:t>
            </w:r>
          </w:p>
        </w:tc>
        <w:tc>
          <w:tcPr>
            <w:tcW w:w="2835"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6F" w14:textId="77777777" w:rsidR="0072010A" w:rsidRDefault="00B346C3">
            <w:r>
              <w:rPr>
                <w:rFonts w:ascii="Calibri" w:hAnsi="Calibri"/>
                <w:b w:val="0"/>
                <w:color w:val="1F2937"/>
                <w:sz w:val="22"/>
              </w:rPr>
              <w:t xml:space="preserve">11 april 2026</w:t>
            </w:r>
          </w:p>
        </w:tc>
      </w:tr>
      <w:tr w:rsidR="0072010A" w14:paraId="6D6ED473" w14:textId="77777777" w:rsidTr="00AF5A6E">
        <w:tc>
          <w:tcPr>
            <w:tcW w:w="2410"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71" w14:textId="77777777" w:rsidR="0072010A" w:rsidRPr="00AF5A6E" w:rsidRDefault="00B346C3">
            <w:r w:rsidRPr="00AF5A6E">
              <w:rPr>
                <w:rFonts w:ascii="Calibri" w:hAnsi="Calibri"/>
                <w:b/>
                <w:bCs/>
                <w:color w:val="1F2937"/>
                <w:sz w:val="22"/>
                <w:szCs w:val="20"/>
              </w:rPr>
              <w:t>Bouwjaar</w:t>
            </w:r>
          </w:p>
        </w:tc>
        <w:tc>
          <w:tcPr>
            <w:tcW w:w="2835"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72" w14:textId="77777777" w:rsidR="0072010A" w:rsidRDefault="00B346C3">
            <w:r>
              <w:rPr>
                <w:rFonts w:ascii="Calibri" w:hAnsi="Calibri"/>
                <w:b w:val="0"/>
                <w:color w:val="1F2937"/>
                <w:sz w:val="22"/>
              </w:rPr>
              <w:t xml:space="preserve">1965</w:t>
            </w:r>
          </w:p>
        </w:tc>
      </w:tr>
      <w:tr w:rsidR="0072010A" w14:paraId="6D6ED476" w14:textId="77777777" w:rsidTr="00AF5A6E">
        <w:tc>
          <w:tcPr>
            <w:tcW w:w="2410"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74" w14:textId="77777777" w:rsidR="0072010A" w:rsidRPr="00AF5A6E" w:rsidRDefault="00B346C3">
            <w:r w:rsidRPr="00AF5A6E">
              <w:rPr>
                <w:rFonts w:ascii="Calibri" w:hAnsi="Calibri"/>
                <w:b/>
                <w:bCs/>
                <w:color w:val="1F2937"/>
                <w:sz w:val="22"/>
                <w:szCs w:val="20"/>
              </w:rPr>
              <w:t>Bouwperiode</w:t>
            </w:r>
          </w:p>
        </w:tc>
        <w:tc>
          <w:tcPr>
            <w:tcW w:w="2835"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75" w14:textId="77777777" w:rsidR="0072010A" w:rsidRDefault="00B346C3">
            <w:r>
              <w:rPr>
                <w:rFonts w:ascii="Calibri" w:hAnsi="Calibri"/>
                <w:b w:val="0"/>
                <w:color w:val="1F2937"/>
                <w:sz w:val="22"/>
              </w:rPr>
              <w:t xml:space="preserve">voor 1975</w:t>
            </w:r>
          </w:p>
        </w:tc>
      </w:tr>
      <w:tr w:rsidR="0072010A" w14:paraId="6D6ED479" w14:textId="77777777" w:rsidTr="00AF5A6E">
        <w:tc>
          <w:tcPr>
            <w:tcW w:w="2410"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77" w14:textId="77777777" w:rsidR="0072010A" w:rsidRPr="00AF5A6E" w:rsidRDefault="00B346C3">
            <w:r w:rsidRPr="00AF5A6E">
              <w:rPr>
                <w:rFonts w:ascii="Calibri" w:hAnsi="Calibri"/>
                <w:b/>
                <w:bCs/>
                <w:color w:val="1F2937"/>
                <w:sz w:val="22"/>
                <w:szCs w:val="20"/>
              </w:rPr>
              <w:t>Gebruiksoppervlakte</w:t>
            </w:r>
          </w:p>
        </w:tc>
        <w:tc>
          <w:tcPr>
            <w:tcW w:w="2835"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78" w14:textId="77777777" w:rsidR="0072010A" w:rsidRDefault="00B346C3">
            <w:r>
              <w:rPr>
                <w:rFonts w:ascii="Calibri" w:hAnsi="Calibri"/>
                <w:b w:val="0"/>
                <w:color w:val="1F2937"/>
                <w:sz w:val="22"/>
              </w:rPr>
              <w:t xml:space="preserve">90 m²</w:t>
            </w:r>
          </w:p>
        </w:tc>
      </w:tr>
      <w:tr w:rsidR="0072010A" w14:paraId="6D6ED47C" w14:textId="77777777" w:rsidTr="00AF5A6E">
        <w:tc>
          <w:tcPr>
            <w:tcW w:w="2410"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7A" w14:textId="77777777" w:rsidR="0072010A" w:rsidRPr="00AF5A6E" w:rsidRDefault="00B346C3">
            <w:r w:rsidRPr="00AF5A6E">
              <w:rPr>
                <w:rFonts w:ascii="Calibri" w:hAnsi="Calibri"/>
                <w:b/>
                <w:bCs/>
                <w:color w:val="1F2937"/>
                <w:sz w:val="22"/>
                <w:szCs w:val="20"/>
              </w:rPr>
              <w:t>Energielabel</w:t>
            </w:r>
          </w:p>
        </w:tc>
        <w:tc>
          <w:tcPr>
            <w:tcW w:w="2835"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7B" w14:textId="77777777" w:rsidR="0072010A" w:rsidRDefault="00B346C3">
            <w:r>
              <w:rPr>
                <w:rFonts w:ascii="Calibri" w:hAnsi="Calibri"/>
                <w:b w:val="0"/>
                <w:color w:val="1F2937"/>
                <w:sz w:val="22"/>
              </w:rPr>
              <w:t xml:space="preserve">—</w:t>
            </w:r>
          </w:p>
        </w:tc>
      </w:tr>
      <w:tr w:rsidR="0072010A" w14:paraId="6D6ED47F" w14:textId="77777777" w:rsidTr="00AF5A6E">
        <w:tc>
          <w:tcPr>
            <w:tcW w:w="2410"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7D" w14:textId="77777777" w:rsidR="0072010A" w:rsidRPr="00AF5A6E" w:rsidRDefault="00B346C3">
            <w:r w:rsidRPr="00AF5A6E">
              <w:rPr>
                <w:rFonts w:ascii="Calibri" w:hAnsi="Calibri"/>
                <w:b/>
                <w:bCs/>
                <w:color w:val="1F2937"/>
                <w:sz w:val="22"/>
                <w:szCs w:val="20"/>
              </w:rPr>
              <w:t>Registratiedatum</w:t>
            </w:r>
          </w:p>
        </w:tc>
        <w:tc>
          <w:tcPr>
            <w:tcW w:w="2835"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7E" w14:textId="77777777" w:rsidR="0072010A" w:rsidRDefault="00B346C3">
            <w:r>
              <w:rPr>
                <w:rFonts w:ascii="Calibri" w:hAnsi="Calibri"/>
                <w:b w:val="0"/>
                <w:color w:val="1F2937"/>
                <w:sz w:val="22"/>
              </w:rPr>
              <w:t xml:space="preserve">—</w:t>
            </w:r>
          </w:p>
        </w:tc>
      </w:tr>
      <w:tr w:rsidR="0072010A" w14:paraId="6D6ED482" w14:textId="77777777" w:rsidTr="00AF5A6E">
        <w:tc>
          <w:tcPr>
            <w:tcW w:w="2410"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80" w14:textId="77777777" w:rsidR="0072010A" w:rsidRPr="00AF5A6E" w:rsidRDefault="00B346C3">
            <w:r w:rsidRPr="00AF5A6E">
              <w:rPr>
                <w:rFonts w:ascii="Calibri" w:hAnsi="Calibri"/>
                <w:b/>
                <w:bCs/>
                <w:color w:val="1F2937"/>
                <w:sz w:val="22"/>
                <w:szCs w:val="20"/>
              </w:rPr>
              <w:t>Geldig tot</w:t>
            </w:r>
          </w:p>
        </w:tc>
        <w:tc>
          <w:tcPr>
            <w:tcW w:w="2835"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81" w14:textId="77777777" w:rsidR="0072010A" w:rsidRDefault="00B346C3">
            <w:r>
              <w:rPr>
                <w:rFonts w:ascii="Calibri" w:hAnsi="Calibri"/>
                <w:b w:val="0"/>
                <w:color w:val="1F2937"/>
                <w:sz w:val="22"/>
              </w:rPr>
              <w:t xml:space="preserve">—</w:t>
            </w:r>
            <w:proofErr w:type="spellStart"/>
            <w:r>
              <w:rPr>
                <w:rFonts w:ascii="Calibri" w:hAnsi="Calibri"/>
                <w:b w:val="0"/>
                <w:color w:val="1F2937"/>
                <w:sz w:val="22"/>
              </w:rPr>
              <w:t/>
            </w:r>
            <w:proofErr w:type="spellEnd"/>
            <w:r>
              <w:rPr>
                <w:rFonts w:ascii="Calibri" w:hAnsi="Calibri"/>
                <w:b w:val="0"/>
                <w:color w:val="1F2937"/>
                <w:sz w:val="22"/>
              </w:rPr>
              <w:t/>
            </w:r>
          </w:p>
        </w:tc>
      </w:tr>
      <w:tr w:rsidR="0072010A" w14:paraId="6D6ED485" w14:textId="77777777" w:rsidTr="00AF5A6E">
        <w:tc>
          <w:tcPr>
            <w:tcW w:w="2410"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83" w14:textId="77777777" w:rsidR="0072010A" w:rsidRPr="00AF5A6E" w:rsidRDefault="00B346C3">
            <w:r w:rsidRPr="00AF5A6E">
              <w:rPr>
                <w:rFonts w:ascii="Calibri" w:hAnsi="Calibri"/>
                <w:b/>
                <w:bCs/>
                <w:color w:val="1F2937"/>
                <w:sz w:val="22"/>
                <w:szCs w:val="20"/>
              </w:rPr>
              <w:t>Energiebehoefte</w:t>
            </w:r>
          </w:p>
        </w:tc>
        <w:tc>
          <w:tcPr>
            <w:tcW w:w="2835"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84" w14:textId="77777777" w:rsidR="0072010A" w:rsidRDefault="00B346C3">
            <w:r>
              <w:rPr>
                <w:rFonts w:ascii="Calibri" w:hAnsi="Calibri"/>
                <w:b w:val="0"/>
                <w:color w:val="1F2937"/>
                <w:sz w:val="22"/>
              </w:rPr>
              <w:t xml:space="preserve">—</w:t>
            </w:r>
          </w:p>
        </w:tc>
      </w:tr>
      <w:tr w:rsidR="0072010A" w14:paraId="6D6ED488" w14:textId="77777777" w:rsidTr="00AF5A6E">
        <w:tc>
          <w:tcPr>
            <w:tcW w:w="2410"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86" w14:textId="77777777" w:rsidR="0072010A" w:rsidRPr="00AF5A6E" w:rsidRDefault="00B346C3">
            <w:r w:rsidRPr="00AF5A6E">
              <w:rPr>
                <w:rFonts w:ascii="Calibri" w:hAnsi="Calibri"/>
                <w:b/>
                <w:bCs/>
                <w:color w:val="1F2937"/>
                <w:sz w:val="22"/>
                <w:szCs w:val="20"/>
              </w:rPr>
              <w:t>Warmtebehoefte</w:t>
            </w:r>
          </w:p>
        </w:tc>
        <w:tc>
          <w:tcPr>
            <w:tcW w:w="2835"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87" w14:textId="77777777" w:rsidR="0072010A" w:rsidRDefault="00B346C3">
            <w:r>
              <w:rPr>
                <w:rFonts w:ascii="Calibri" w:hAnsi="Calibri"/>
                <w:b w:val="0"/>
                <w:color w:val="1F2937"/>
                <w:sz w:val="22"/>
              </w:rPr>
              <w:t xml:space="preserve">—</w:t>
            </w:r>
          </w:p>
        </w:tc>
      </w:tr>
      <w:tr w:rsidR="0072010A" w14:paraId="6D6ED48B" w14:textId="77777777" w:rsidTr="00AF5A6E">
        <w:tc>
          <w:tcPr>
            <w:tcW w:w="2410"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89" w14:textId="77777777" w:rsidR="0072010A" w:rsidRPr="00AF5A6E" w:rsidRDefault="00B346C3">
            <w:r w:rsidRPr="00AF5A6E">
              <w:rPr>
                <w:rFonts w:ascii="Calibri" w:hAnsi="Calibri"/>
                <w:b/>
                <w:bCs/>
                <w:color w:val="1F2937"/>
                <w:sz w:val="22"/>
                <w:szCs w:val="20"/>
              </w:rPr>
              <w:t>Woningtype</w:t>
            </w:r>
          </w:p>
        </w:tc>
        <w:tc>
          <w:tcPr>
            <w:tcW w:w="2835"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8A" w14:textId="77777777" w:rsidR="0072010A" w:rsidRDefault="00B346C3">
            <w:r>
              <w:rPr>
                <w:rFonts w:ascii="Calibri" w:hAnsi="Calibri"/>
                <w:b w:val="0"/>
                <w:color w:val="1F2937"/>
                <w:sz w:val="22"/>
              </w:rPr>
              <w:t xml:space="preserve">Tussenwoning</w:t>
            </w:r>
          </w:p>
        </w:tc>
      </w:tr>
    </w:tbl>
    <w:p w14:paraId="6D6ED48C" w14:textId="77777777" w:rsidR="0072010A" w:rsidRPr="00CE7620" w:rsidRDefault="0072010A">
      <w:pPr>
        <w:spacing w:before="80"/>
      </w:pPr>
    </w:p>
    <w:p w14:paraId="6D6ED48D" w14:textId="77777777" w:rsidR="0072010A" w:rsidRPr="00CE7620" w:rsidRDefault="00B346C3">
      <w:pPr>
        <w:spacing w:before="60" w:after="60"/>
      </w:pPr>
      <w:r w:rsidRPr="00CE7620">
        <w:rPr>
          <w:i/>
          <w:iCs/>
        </w:rPr>
        <w:t>Bron: Basisregistratie Adressen en Gebouwen (BAG/PDOK) en landelijke energielabelregistratie EP-Online.</w:t>
      </w:r>
    </w:p>
    <w:p w14:paraId="6D6ED48E" w14:textId="77777777" w:rsidR="0072010A" w:rsidRDefault="0072010A">
      <w:pPr>
        <w:spacing w:before="240"/>
      </w:pPr>
    </w:p>
    <w:p w14:paraId="6D6ED48F" w14:textId="77777777" w:rsidR="0072010A" w:rsidRPr="00DC422D" w:rsidRDefault="00B346C3">
      <w:pPr>
        <w:pStyle w:val="Kop1"/>
        <w:pBdr>
          <w:bottom w:val="single" w:sz="4" w:space="4" w:color="2E6BE6"/>
        </w:pBdr>
        <w:rPr>
          <w:color w:val="5AAA00"/>
        </w:rPr>
      </w:pPr>
      <w:r w:rsidRPr="00DC422D">
        <w:rPr>
          <w:color w:val="5AAA00"/>
        </w:rPr>
        <w:t>Kenmerken van deze bouwperiode</w:t>
      </w:r>
    </w:p>
    <w:p w14:paraId="6D6ED490" w14:textId="77777777" w:rsidR="0072010A" w:rsidRDefault="00B346C3">
      <w:pPr>
        <w:spacing w:before="80" w:after="160"/>
      </w:pPr>
      <w:r>
        <w:rPr>
          <w:color w:val="1A2340"/>
        </w:rPr>
        <w:t xml:space="preserve">Uw woning is gebouwd in de wederopbouw- of vroege systeembouwperiode. Na de oorlog verschoof de focus naar industriële bouw om de woningnood snel op te lossen, waarbij betonvloeren steeds vaker houten vloeren vervingen. De spouwmuur werd de standaard om vochtproblemen te voorkomen, maar werd zonder isolatiemateriaal opgeleverd. De isolatiewaarden van gevels en daken bleven in deze periode zeer laag (Rc-waarden tussen 0,15 en 0,86).</w:t>
      </w:r>
      <w:proofErr w:type="spellStart"/>
      <w:r>
        <w:rPr>
          <w:color w:val="1A2340"/>
        </w:rPr>
        <w:t/>
      </w:r>
      <w:proofErr w:type="spellEnd"/>
      <w:r>
        <w:rPr>
          <w:color w:val="1A2340"/>
        </w:rPr>
        <w:t/>
      </w:r>
    </w:p>
    <w:p>
      <w:pPr>
        <w:spacing w:before="120" w:after="120"/>
      </w:pPr>
    </w:p>
    <w:p>
      <w:pPr>
        <w:spacing w:before="80" w:after="160"/>
      </w:pPr>
      <w:r>
        <w:rPr>
          <w:color w:val="1A2340"/>
        </w:rPr>
        <w:t xml:space="preserve">Als tussenwoning heeft u twee gedeelde muren — warmteverlies gaat hier vooral via dak, vloer en voor/achtergevel.</w:t>
      </w:r>
    </w:p>
    <w:p w14:paraId="6D6ED491" w14:textId="77777777" w:rsidR="0072010A" w:rsidRDefault="00B346C3">
      <w:r>
        <w:br w:type="page"/>
      </w:r>
    </w:p>
    <w:p w14:paraId="6D6ED49B" w14:textId="03C03553" w:rsidR="0072010A" w:rsidRDefault="0072010A"/>
    <w:p w14:paraId="6D6ED49C" w14:textId="28FAA4FD" w:rsidR="0072010A" w:rsidRPr="00DC422D" w:rsidRDefault="00B346C3">
      <w:pPr>
        <w:pStyle w:val="Kop1"/>
        <w:pBdr>
          <w:bottom w:val="single" w:sz="4" w:space="4" w:color="2E6BE6"/>
        </w:pBdr>
        <w:rPr>
          <w:color w:val="5AAA00"/>
        </w:rPr>
      </w:pPr>
      <w:r w:rsidRPr="00DC422D">
        <w:rPr>
          <w:color w:val="5AAA00"/>
        </w:rPr>
        <w:t>Kansen en verbeterpotentieel</w:t>
      </w:r>
    </w:p>
    <w:p w14:paraId="6D6ED49D" w14:textId="77777777" w:rsidR="0072010A" w:rsidRPr="0068671D" w:rsidRDefault="00B346C3">
      <w:pPr>
        <w:spacing w:before="60" w:after="60"/>
      </w:pPr>
      <w:r w:rsidRPr="0068671D">
        <w:t>Een lage score betekent niet dat geen actie mogelijk is, maar dat het rendement ten opzichte van de investering doorgaans beperkter is.</w:t>
      </w:r>
    </w:p>
    <w:p w14:paraId="6D6ED49E" w14:textId="77777777" w:rsidR="0072010A" w:rsidRDefault="0072010A">
      <w:pPr>
        <w:spacing w:before="120" w:after="120"/>
      </w:pPr>
    </w:p>
    <w:tbl>
      <w:tblPr>
        <w:tblW w:w="9026"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CellMar>
          <w:left w:w="10" w:type="dxa"/>
          <w:right w:w="10" w:type="dxa"/>
        </w:tblCellMar>
        <w:tblLook w:val="0000" w:firstRow="0" w:lastRow="0" w:firstColumn="0" w:lastColumn="0" w:noHBand="0" w:noVBand="0"/>
      </w:tblPr>
      <w:tblGrid>
        <w:gridCol w:w="2295"/>
        <w:gridCol w:w="1759"/>
        <w:gridCol w:w="4972"/>
      </w:tblGrid>
      <w:tr w:rsidR="0072010A" w14:paraId="6D6ED4A2" w14:textId="77777777" w:rsidTr="00E2056A">
        <w:tc>
          <w:tcPr>
            <w:tcW w:w="2400" w:type="dxa"/>
            <w:shd w:val="clear" w:color="auto" w:fill="5AAA00"/>
            <w:tcMar>
              <w:top w:w="80" w:type="dxa"/>
              <w:left w:w="120" w:type="dxa"/>
              <w:bottom w:w="80" w:type="dxa"/>
              <w:right w:w="120" w:type="dxa"/>
            </w:tcMar>
          </w:tcPr>
          <w:p w14:paraId="6D6ED49F" w14:textId="77777777" w:rsidR="0072010A" w:rsidRPr="0068671D" w:rsidRDefault="00B346C3">
            <w:pPr>
              <w:rPr>
                <w:color w:val="FFFFFF" w:themeColor="background1"/>
              </w:rPr>
            </w:pPr>
            <w:r w:rsidRPr="0068671D">
              <w:rPr>
                <w:b/>
                <w:bCs/>
                <w:color w:val="FFFFFF" w:themeColor="background1"/>
                <w:sz w:val="20"/>
                <w:szCs w:val="20"/>
              </w:rPr>
              <w:t>Onderdeel</w:t>
            </w:r>
          </w:p>
        </w:tc>
        <w:tc>
          <w:tcPr>
            <w:tcW w:w="1400" w:type="dxa"/>
            <w:shd w:val="clear" w:color="auto" w:fill="5AAA00"/>
            <w:tcMar>
              <w:top w:w="80" w:type="dxa"/>
              <w:left w:w="120" w:type="dxa"/>
              <w:bottom w:w="80" w:type="dxa"/>
              <w:right w:w="120" w:type="dxa"/>
            </w:tcMar>
          </w:tcPr>
          <w:p w14:paraId="6D6ED4A0" w14:textId="77777777" w:rsidR="0072010A" w:rsidRPr="0068671D" w:rsidRDefault="00B346C3">
            <w:pPr>
              <w:rPr>
                <w:color w:val="FFFFFF" w:themeColor="background1"/>
              </w:rPr>
            </w:pPr>
            <w:r w:rsidRPr="0068671D">
              <w:rPr>
                <w:b/>
                <w:bCs/>
                <w:color w:val="FFFFFF" w:themeColor="background1"/>
                <w:sz w:val="20"/>
                <w:szCs w:val="20"/>
              </w:rPr>
              <w:t>Score</w:t>
            </w:r>
          </w:p>
        </w:tc>
        <w:tc>
          <w:tcPr>
            <w:tcW w:w="5226" w:type="dxa"/>
            <w:shd w:val="clear" w:color="auto" w:fill="5AAA00"/>
            <w:tcMar>
              <w:top w:w="80" w:type="dxa"/>
              <w:left w:w="120" w:type="dxa"/>
              <w:bottom w:w="80" w:type="dxa"/>
              <w:right w:w="120" w:type="dxa"/>
            </w:tcMar>
          </w:tcPr>
          <w:p w14:paraId="6D6ED4A1" w14:textId="77777777" w:rsidR="0072010A" w:rsidRPr="0068671D" w:rsidRDefault="00B346C3">
            <w:pPr>
              <w:rPr>
                <w:color w:val="FFFFFF" w:themeColor="background1"/>
              </w:rPr>
            </w:pPr>
            <w:r w:rsidRPr="0068671D">
              <w:rPr>
                <w:b/>
                <w:bCs/>
                <w:color w:val="FFFFFF" w:themeColor="background1"/>
                <w:sz w:val="20"/>
                <w:szCs w:val="20"/>
              </w:rPr>
              <w:t>Beoordeling</w:t>
            </w:r>
          </w:p>
        </w:tc>
      </w:tr>
      <w:tr w:rsidR="0072010A" w14:paraId="6D6ED4A6" w14:textId="77777777" w:rsidTr="003B162E">
        <w:tc>
          <w:tcPr>
            <w:tcW w:w="2400" w:type="dxa"/>
            <w:shd w:val="clear" w:color="auto" w:fill="FFFFFF"/>
            <w:tcMar>
              <w:top w:w="80" w:type="dxa"/>
              <w:left w:w="120" w:type="dxa"/>
              <w:bottom w:w="80" w:type="dxa"/>
              <w:right w:w="120" w:type="dxa"/>
            </w:tcMar>
          </w:tcPr>
          <w:p w14:paraId="6D6ED4A3" w14:textId="77777777" w:rsidR="0072010A" w:rsidRDefault="00B346C3">
            <w:r>
              <w:rPr>
                <w:color w:val="1A2340"/>
                <w:sz w:val="20"/>
                <w:szCs w:val="20"/>
              </w:rPr>
              <w:t>Dak</w:t>
            </w:r>
          </w:p>
        </w:tc>
        <w:tc>
          <w:tcPr>
            <w:tcW w:w="1400" w:type="dxa"/>
            <w:shd w:val="clear" w:color="auto" w:fill="FFFFFF"/>
            <w:tcMar>
              <w:top w:w="80" w:type="dxa"/>
              <w:left w:w="120" w:type="dxa"/>
              <w:bottom w:w="80" w:type="dxa"/>
              <w:right w:w="120" w:type="dxa"/>
            </w:tcMar>
          </w:tcPr>
          <w:p w14:paraId="6D6ED4A4" w14:textId="77777777" w:rsidR="0072010A" w:rsidRDefault="00B346C3">
            <w:r>
              <w:rPr>
                <w:color w:val="1A2340"/>
              </w:rPr>
              <w:t xml:space="preserve">4/5</w:t>
            </w:r>
            <w:proofErr w:type="spellStart"/>
            <w:r>
              <w:rPr>
                <w:color w:val="1A2340"/>
              </w:rPr>
              <w:t/>
            </w:r>
            <w:proofErr w:type="spellEnd"/>
            <w:r>
              <w:rPr>
                <w:color w:val="1A2340"/>
              </w:rPr>
              <w:t/>
            </w:r>
            <w:r>
              <w:rPr>
                <w:color w:val="5A6A85"/>
                <w:sz w:val="20"/>
                <w:szCs w:val="20"/>
              </w:rPr>
              <w:t/>
            </w:r>
          </w:p>
        </w:tc>
        <w:tc>
          <w:tcPr>
            <w:tcW w:w="5226" w:type="dxa"/>
            <w:shd w:val="clear" w:color="auto" w:fill="FFFFFF"/>
            <w:tcMar>
              <w:top w:w="80" w:type="dxa"/>
              <w:left w:w="120" w:type="dxa"/>
              <w:bottom w:w="80" w:type="dxa"/>
              <w:right w:w="120" w:type="dxa"/>
            </w:tcMar>
          </w:tcPr>
          <w:p w14:paraId="6D6ED4A5" w14:textId="77777777" w:rsidR="0072010A" w:rsidRDefault="00B346C3">
            <w:r>
              <w:rPr>
                <w:color w:val="1A2340"/>
              </w:rPr>
              <w:t xml:space="preserve">Slecht</w:t>
            </w:r>
            <w:proofErr w:type="spellStart"/>
            <w:r>
              <w:rPr>
                <w:color w:val="1A2340"/>
              </w:rPr>
              <w:t/>
            </w:r>
            <w:proofErr w:type="spellEnd"/>
            <w:r>
              <w:rPr>
                <w:color w:val="1A2340"/>
              </w:rPr>
              <w:t/>
            </w:r>
          </w:p>
        </w:tc>
      </w:tr>
      <w:tr w:rsidR="0072010A" w14:paraId="6D6ED4AA" w14:textId="77777777" w:rsidTr="003B162E">
        <w:tc>
          <w:tcPr>
            <w:tcW w:w="2400" w:type="dxa"/>
            <w:shd w:val="clear" w:color="auto" w:fill="FFFFFF"/>
            <w:tcMar>
              <w:top w:w="80" w:type="dxa"/>
              <w:left w:w="120" w:type="dxa"/>
              <w:bottom w:w="80" w:type="dxa"/>
              <w:right w:w="120" w:type="dxa"/>
            </w:tcMar>
          </w:tcPr>
          <w:p w14:paraId="6D6ED4A7" w14:textId="77777777" w:rsidR="0072010A" w:rsidRDefault="00B346C3">
            <w:r>
              <w:rPr>
                <w:color w:val="1A2340"/>
                <w:sz w:val="20"/>
                <w:szCs w:val="20"/>
              </w:rPr>
              <w:t>Gevel</w:t>
            </w:r>
          </w:p>
        </w:tc>
        <w:tc>
          <w:tcPr>
            <w:tcW w:w="1400" w:type="dxa"/>
            <w:shd w:val="clear" w:color="auto" w:fill="FFFFFF"/>
            <w:tcMar>
              <w:top w:w="80" w:type="dxa"/>
              <w:left w:w="120" w:type="dxa"/>
              <w:bottom w:w="80" w:type="dxa"/>
              <w:right w:w="120" w:type="dxa"/>
            </w:tcMar>
          </w:tcPr>
          <w:p w14:paraId="6D6ED4A8" w14:textId="77777777" w:rsidR="0072010A" w:rsidRDefault="00B346C3">
            <w:r>
              <w:rPr>
                <w:color w:val="1A2340"/>
              </w:rPr>
              <w:t xml:space="preserve">4/5</w:t>
            </w:r>
            <w:proofErr w:type="spellStart"/>
            <w:r>
              <w:rPr>
                <w:color w:val="1A2340"/>
              </w:rPr>
              <w:t/>
            </w:r>
            <w:proofErr w:type="spellEnd"/>
            <w:r>
              <w:rPr>
                <w:color w:val="1A2340"/>
              </w:rPr>
              <w:t/>
            </w:r>
            <w:r>
              <w:rPr>
                <w:color w:val="5A6A85"/>
                <w:sz w:val="20"/>
                <w:szCs w:val="20"/>
              </w:rPr>
              <w:t/>
            </w:r>
          </w:p>
        </w:tc>
        <w:tc>
          <w:tcPr>
            <w:tcW w:w="5226" w:type="dxa"/>
            <w:shd w:val="clear" w:color="auto" w:fill="FFFFFF"/>
            <w:tcMar>
              <w:top w:w="80" w:type="dxa"/>
              <w:left w:w="120" w:type="dxa"/>
              <w:bottom w:w="80" w:type="dxa"/>
              <w:right w:w="120" w:type="dxa"/>
            </w:tcMar>
          </w:tcPr>
          <w:p w14:paraId="6D6ED4A9" w14:textId="77777777" w:rsidR="0072010A" w:rsidRDefault="00B346C3">
            <w:r>
              <w:rPr>
                <w:color w:val="1A2340"/>
              </w:rPr>
              <w:t xml:space="preserve">Slecht</w:t>
            </w:r>
            <w:proofErr w:type="spellStart"/>
            <w:r>
              <w:rPr>
                <w:color w:val="1A2340"/>
              </w:rPr>
              <w:t/>
            </w:r>
            <w:proofErr w:type="spellEnd"/>
            <w:r>
              <w:rPr>
                <w:color w:val="1A2340"/>
              </w:rPr>
              <w:t/>
            </w:r>
          </w:p>
        </w:tc>
      </w:tr>
      <w:tr w:rsidR="0072010A" w14:paraId="6D6ED4AE" w14:textId="77777777" w:rsidTr="003B162E">
        <w:tc>
          <w:tcPr>
            <w:tcW w:w="2400" w:type="dxa"/>
            <w:shd w:val="clear" w:color="auto" w:fill="FFFFFF"/>
            <w:tcMar>
              <w:top w:w="80" w:type="dxa"/>
              <w:left w:w="120" w:type="dxa"/>
              <w:bottom w:w="80" w:type="dxa"/>
              <w:right w:w="120" w:type="dxa"/>
            </w:tcMar>
          </w:tcPr>
          <w:p w14:paraId="6D6ED4AB" w14:textId="77777777" w:rsidR="0072010A" w:rsidRDefault="00B346C3">
            <w:r>
              <w:rPr>
                <w:color w:val="1A2340"/>
                <w:sz w:val="20"/>
                <w:szCs w:val="20"/>
              </w:rPr>
              <w:t>Vloer</w:t>
            </w:r>
          </w:p>
        </w:tc>
        <w:tc>
          <w:tcPr>
            <w:tcW w:w="1400" w:type="dxa"/>
            <w:shd w:val="clear" w:color="auto" w:fill="FFFFFF"/>
            <w:tcMar>
              <w:top w:w="80" w:type="dxa"/>
              <w:left w:w="120" w:type="dxa"/>
              <w:bottom w:w="80" w:type="dxa"/>
              <w:right w:w="120" w:type="dxa"/>
            </w:tcMar>
          </w:tcPr>
          <w:p w14:paraId="6D6ED4AC" w14:textId="77777777" w:rsidR="0072010A" w:rsidRDefault="00B346C3">
            <w:r>
              <w:rPr>
                <w:color w:val="1A2340"/>
              </w:rPr>
              <w:t xml:space="preserve">4/5</w:t>
            </w:r>
            <w:proofErr w:type="spellStart"/>
            <w:r>
              <w:rPr>
                <w:color w:val="1A2340"/>
              </w:rPr>
              <w:t/>
            </w:r>
            <w:proofErr w:type="spellEnd"/>
            <w:r>
              <w:rPr>
                <w:color w:val="1A2340"/>
              </w:rPr>
              <w:t/>
            </w:r>
            <w:r>
              <w:rPr>
                <w:color w:val="5A6A85"/>
                <w:sz w:val="20"/>
                <w:szCs w:val="20"/>
              </w:rPr>
              <w:t/>
            </w:r>
          </w:p>
        </w:tc>
        <w:tc>
          <w:tcPr>
            <w:tcW w:w="5226" w:type="dxa"/>
            <w:shd w:val="clear" w:color="auto" w:fill="FFFFFF"/>
            <w:tcMar>
              <w:top w:w="80" w:type="dxa"/>
              <w:left w:w="120" w:type="dxa"/>
              <w:bottom w:w="80" w:type="dxa"/>
              <w:right w:w="120" w:type="dxa"/>
            </w:tcMar>
          </w:tcPr>
          <w:p w14:paraId="6D6ED4AD" w14:textId="77777777" w:rsidR="0072010A" w:rsidRDefault="00B346C3">
            <w:r>
              <w:rPr>
                <w:color w:val="1A2340"/>
              </w:rPr>
              <w:t xml:space="preserve">Slecht</w:t>
            </w:r>
            <w:proofErr w:type="spellStart"/>
            <w:r>
              <w:rPr>
                <w:color w:val="1A2340"/>
              </w:rPr>
              <w:t/>
            </w:r>
            <w:proofErr w:type="spellEnd"/>
            <w:r>
              <w:rPr>
                <w:color w:val="1A2340"/>
              </w:rPr>
              <w:t/>
            </w:r>
          </w:p>
        </w:tc>
      </w:tr>
      <w:tr w:rsidR="0072010A" w14:paraId="6D6ED4B2" w14:textId="77777777" w:rsidTr="003B162E">
        <w:tc>
          <w:tcPr>
            <w:tcW w:w="2400" w:type="dxa"/>
            <w:shd w:val="clear" w:color="auto" w:fill="FFFFFF"/>
            <w:tcMar>
              <w:top w:w="80" w:type="dxa"/>
              <w:left w:w="120" w:type="dxa"/>
              <w:bottom w:w="80" w:type="dxa"/>
              <w:right w:w="120" w:type="dxa"/>
            </w:tcMar>
          </w:tcPr>
          <w:p w14:paraId="6D6ED4AF" w14:textId="77777777" w:rsidR="0072010A" w:rsidRDefault="00B346C3">
            <w:r>
              <w:rPr>
                <w:color w:val="1A2340"/>
                <w:sz w:val="20"/>
                <w:szCs w:val="20"/>
              </w:rPr>
              <w:t>Glas</w:t>
            </w:r>
          </w:p>
        </w:tc>
        <w:tc>
          <w:tcPr>
            <w:tcW w:w="1400" w:type="dxa"/>
            <w:shd w:val="clear" w:color="auto" w:fill="FFFFFF"/>
            <w:tcMar>
              <w:top w:w="80" w:type="dxa"/>
              <w:left w:w="120" w:type="dxa"/>
              <w:bottom w:w="80" w:type="dxa"/>
              <w:right w:w="120" w:type="dxa"/>
            </w:tcMar>
          </w:tcPr>
          <w:p w14:paraId="6D6ED4B0" w14:textId="77777777" w:rsidR="0072010A" w:rsidRDefault="00B346C3">
            <w:r>
              <w:rPr>
                <w:color w:val="1A2340"/>
              </w:rPr>
              <w:t xml:space="preserve">4/5</w:t>
            </w:r>
            <w:proofErr w:type="spellStart"/>
            <w:r>
              <w:rPr>
                <w:color w:val="1A2340"/>
              </w:rPr>
              <w:t/>
            </w:r>
            <w:proofErr w:type="spellEnd"/>
            <w:r>
              <w:rPr>
                <w:color w:val="1A2340"/>
              </w:rPr>
              <w:t/>
            </w:r>
            <w:r>
              <w:rPr>
                <w:color w:val="5A6A85"/>
                <w:sz w:val="20"/>
                <w:szCs w:val="20"/>
              </w:rPr>
              <w:t/>
            </w:r>
          </w:p>
        </w:tc>
        <w:tc>
          <w:tcPr>
            <w:tcW w:w="5226" w:type="dxa"/>
            <w:shd w:val="clear" w:color="auto" w:fill="FFFFFF"/>
            <w:tcMar>
              <w:top w:w="80" w:type="dxa"/>
              <w:left w:w="120" w:type="dxa"/>
              <w:bottom w:w="80" w:type="dxa"/>
              <w:right w:w="120" w:type="dxa"/>
            </w:tcMar>
          </w:tcPr>
          <w:p w14:paraId="6D6ED4B1" w14:textId="77777777" w:rsidR="0072010A" w:rsidRDefault="00B346C3">
            <w:r>
              <w:rPr>
                <w:color w:val="1A2340"/>
              </w:rPr>
              <w:t xml:space="preserve">Slecht</w:t>
            </w:r>
            <w:proofErr w:type="spellStart"/>
            <w:r>
              <w:rPr>
                <w:color w:val="1A2340"/>
              </w:rPr>
              <w:t/>
            </w:r>
            <w:proofErr w:type="spellEnd"/>
            <w:r>
              <w:rPr>
                <w:color w:val="1A2340"/>
              </w:rPr>
              <w:t/>
            </w:r>
          </w:p>
        </w:tc>
      </w:tr>
    </w:tbl>
    <w:p w14:paraId="6D6ED4B3" w14:textId="77777777" w:rsidR="0072010A" w:rsidRDefault="0072010A">
      <w:pPr>
        <w:spacing w:before="240"/>
      </w:pPr>
    </w:p>
    <w:p w14:paraId="67DA02C5" w14:textId="77777777" w:rsidR="00B50E04" w:rsidRDefault="00B50E04">
      <w:pPr>
        <w:spacing w:before="240"/>
      </w:pPr>
    </w:p>
    <w:p w14:paraId="2145B27C" w14:textId="77777777" w:rsidR="00B50E04" w:rsidRDefault="00B50E04" w:rsidP="00B50E04">
      <w:pPr>
        <w:pBdr>
          <w:bottom w:val="single" w:sz="2" w:space="1" w:color="D0D8EC"/>
        </w:pBdr>
        <w:spacing w:before="160" w:after="160"/>
      </w:pPr>
    </w:p>
    <w:p w14:paraId="2228FB7B" w14:textId="77777777" w:rsidR="003813AC" w:rsidRDefault="003813AC">
      <w:pPr>
        <w:rPr>
          <w:b/>
          <w:bCs/>
          <w:color w:val="2E6BE6"/>
        </w:rPr>
      </w:pPr>
      <w:r>
        <w:rPr>
          <w:b/>
          <w:bCs/>
          <w:color w:val="2E6BE6"/>
        </w:rPr>
        <w:br w:type="page"/>
      </w:r>
    </w:p>
    <w:p>
      <w:pPr>
        <w:pStyle w:val="Normal"/>
        <w:spacing w:before="0" w:after="200"/>
      </w:pPr>
      <w:r>
        <w:rPr>
          <w:b/>
          <w:rFonts w:ascii="Calibri" w:hAnsi="Calibri" w:cs="Calibri"/>
          <w:sz w:val="28"/>
          <w:szCs w:val="28"/>
          <w:color w:val="1D1D1B"/>
        </w:rPr>
        <w:t xml:space="preserve">Aanbevolen maatregelen</w:t>
      </w:r>
    </w:p>
    <w:p>
      <w:pPr>
        <w:pStyle w:val="Normal"/>
        <w:spacing w:before="0" w:after="60"/>
      </w:pPr>
      <w:r>
        <w:rPr>
          <w:b/>
          <w:rFonts w:ascii="Calibri" w:hAnsi="Calibri" w:cs="Calibri"/>
          <w:sz w:val="22"/>
          <w:szCs w:val="22"/>
          <w:color w:val="5AAA00"/>
        </w:rPr>
        <w:t xml:space="preserve">1. Gevel  —  score 4/5  —  Hoge urgentie</w:t>
      </w:r>
    </w:p>
    <w:p>
      <w:pPr>
        <w:pStyle w:val="Normal"/>
        <w:spacing w:before="0" w:after="60"/>
      </w:pPr>
      <w:r>
        <w:rPr>
          <w:rFonts w:ascii="Calibri" w:hAnsi="Calibri" w:cs="Calibri"/>
          <w:sz w:val="22"/>
          <w:szCs w:val="22"/>
          <w:color w:val="1D1D1B"/>
        </w:rPr>
        <w:t xml:space="preserve">Aanbevolen maatregel: Gevelisolatie</w:t>
      </w:r>
    </w:p>
    <w:p>
      <w:pPr>
        <w:pStyle w:val="Normal"/>
        <w:spacing w:before="0" w:after="60"/>
      </w:pPr>
      <w:r>
        <w:rPr>
          <w:rFonts w:ascii="Calibri" w:hAnsi="Calibri" w:cs="Calibri"/>
          <w:sz w:val="22"/>
          <w:szCs w:val="22"/>
          <w:color w:val="666666"/>
        </w:rPr>
        <w:t xml:space="preserve">Geschatte oppervlakte: ca. 45 m²</w:t>
      </w:r>
    </w:p>
    <w:p>
      <w:pPr>
        <w:pStyle w:val="Normal"/>
        <w:spacing w:before="0" w:after="60"/>
      </w:pPr>
      <w:r>
        <w:rPr>
          <w:rFonts w:ascii="Calibri" w:hAnsi="Calibri" w:cs="Calibri"/>
          <w:sz w:val="22"/>
          <w:szCs w:val="22"/>
          <w:color w:val="1D1D1B"/>
        </w:rPr>
        <w:t xml:space="preserve">Indicatieve besparing: €403–€545 per jaar</w:t>
      </w:r>
    </w:p>
    <w:p>
      <w:pPr>
        <w:pStyle w:val="Normal"/>
        <w:spacing w:before="0" w:after="60"/>
      </w:pPr>
      <w:r>
        <w:rPr>
          <w:rFonts w:ascii="Calibri" w:hAnsi="Calibri" w:cs="Calibri"/>
          <w:sz w:val="22"/>
          <w:szCs w:val="22"/>
          <w:color w:val="1D1D1B"/>
        </w:rPr>
        <w:t xml:space="preserve">Indicatieve investering: €4,050–€8,550</w:t>
      </w:r>
    </w:p>
    <w:p>
      <w:pPr>
        <w:pStyle w:val="Normal"/>
        <w:spacing w:before="0" w:after="60"/>
      </w:pPr>
      <w:r>
        <w:rPr>
          <w:rFonts w:ascii="Calibri" w:hAnsi="Calibri" w:cs="Calibri"/>
          <w:sz w:val="22"/>
          <w:szCs w:val="22"/>
          <w:color w:val="2E7D32"/>
        </w:rPr>
        <w:t xml:space="preserve">ISDE-subsidie indicatie: tot €911</w:t>
      </w:r>
    </w:p>
    <w:p>
      <w:pPr>
        <w:pStyle w:val="Normal"/>
        <w:spacing w:before="0" w:after="200"/>
      </w:pPr>
      <w:r>
        <w:rPr>
          <w:rFonts w:ascii="Calibri" w:hAnsi="Calibri" w:cs="Calibri"/>
          <w:sz w:val="22"/>
          <w:szCs w:val="22"/>
          <w:color w:val="1D1D1B"/>
        </w:rPr>
        <w:t xml:space="preserve">Terugverdientijd na subsidie: ca. 6–19 jaar</w:t>
      </w:r>
    </w:p>
    <w:p>
      <w:pPr>
        <w:pStyle w:val="Normal"/>
        <w:spacing w:before="0" w:after="60"/>
      </w:pPr>
      <w:r>
        <w:rPr>
          <w:b/>
          <w:rFonts w:ascii="Calibri" w:hAnsi="Calibri" w:cs="Calibri"/>
          <w:sz w:val="22"/>
          <w:szCs w:val="22"/>
          <w:color w:val="5AAA00"/>
        </w:rPr>
        <w:t xml:space="preserve">2. Dak  —  score 4/5  —  Hoge urgentie</w:t>
      </w:r>
    </w:p>
    <w:p>
      <w:pPr>
        <w:pStyle w:val="Normal"/>
        <w:spacing w:before="0" w:after="60"/>
      </w:pPr>
      <w:r>
        <w:rPr>
          <w:rFonts w:ascii="Calibri" w:hAnsi="Calibri" w:cs="Calibri"/>
          <w:sz w:val="22"/>
          <w:szCs w:val="22"/>
          <w:color w:val="1D1D1B"/>
        </w:rPr>
        <w:t xml:space="preserve">Aanbevolen maatregel: Dakisolatie</w:t>
      </w:r>
    </w:p>
    <w:p>
      <w:pPr>
        <w:pStyle w:val="Normal"/>
        <w:spacing w:before="0" w:after="60"/>
      </w:pPr>
      <w:r>
        <w:rPr>
          <w:rFonts w:ascii="Calibri" w:hAnsi="Calibri" w:cs="Calibri"/>
          <w:sz w:val="22"/>
          <w:szCs w:val="22"/>
          <w:color w:val="666666"/>
        </w:rPr>
        <w:t xml:space="preserve">Geschatte oppervlakte: ca. 50 m²</w:t>
      </w:r>
    </w:p>
    <w:p>
      <w:pPr>
        <w:pStyle w:val="Normal"/>
        <w:spacing w:before="0" w:after="60"/>
      </w:pPr>
      <w:r>
        <w:rPr>
          <w:rFonts w:ascii="Calibri" w:hAnsi="Calibri" w:cs="Calibri"/>
          <w:sz w:val="22"/>
          <w:szCs w:val="22"/>
          <w:color w:val="1D1D1B"/>
        </w:rPr>
        <w:t xml:space="preserve">Indicatieve besparing: €288–€389 per jaar</w:t>
      </w:r>
    </w:p>
    <w:p>
      <w:pPr>
        <w:pStyle w:val="Normal"/>
        <w:spacing w:before="0" w:after="60"/>
      </w:pPr>
      <w:r>
        <w:rPr>
          <w:rFonts w:ascii="Calibri" w:hAnsi="Calibri" w:cs="Calibri"/>
          <w:sz w:val="22"/>
          <w:szCs w:val="22"/>
          <w:color w:val="1D1D1B"/>
        </w:rPr>
        <w:t xml:space="preserve">Indicatieve investering: €1,485–€3,218</w:t>
      </w:r>
    </w:p>
    <w:p>
      <w:pPr>
        <w:pStyle w:val="Normal"/>
        <w:spacing w:before="0" w:after="60"/>
      </w:pPr>
      <w:r>
        <w:rPr>
          <w:rFonts w:ascii="Calibri" w:hAnsi="Calibri" w:cs="Calibri"/>
          <w:sz w:val="22"/>
          <w:szCs w:val="22"/>
          <w:color w:val="2E7D32"/>
        </w:rPr>
        <w:t xml:space="preserve">ISDE-subsidie indicatie: tot €804</w:t>
      </w:r>
    </w:p>
    <w:p>
      <w:pPr>
        <w:pStyle w:val="Normal"/>
        <w:spacing w:before="0" w:after="200"/>
      </w:pPr>
      <w:r>
        <w:rPr>
          <w:rFonts w:ascii="Calibri" w:hAnsi="Calibri" w:cs="Calibri"/>
          <w:sz w:val="22"/>
          <w:szCs w:val="22"/>
          <w:color w:val="1D1D1B"/>
        </w:rPr>
        <w:t xml:space="preserve">Terugverdientijd na subsidie: ca. 2–8 jaar</w:t>
      </w:r>
    </w:p>
    <w:p>
      <w:pPr>
        <w:pStyle w:val="Normal"/>
        <w:spacing w:before="0" w:after="60"/>
      </w:pPr>
      <w:r>
        <w:rPr>
          <w:b/>
          <w:rFonts w:ascii="Calibri" w:hAnsi="Calibri" w:cs="Calibri"/>
          <w:sz w:val="22"/>
          <w:szCs w:val="22"/>
          <w:color w:val="5AAA00"/>
        </w:rPr>
        <w:t xml:space="preserve">3. Glas  —  score 4/5  —  Hoge urgentie</w:t>
      </w:r>
    </w:p>
    <w:p>
      <w:pPr>
        <w:pStyle w:val="Normal"/>
        <w:spacing w:before="0" w:after="60"/>
      </w:pPr>
      <w:r>
        <w:rPr>
          <w:rFonts w:ascii="Calibri" w:hAnsi="Calibri" w:cs="Calibri"/>
          <w:sz w:val="22"/>
          <w:szCs w:val="22"/>
          <w:color w:val="1D1D1B"/>
        </w:rPr>
        <w:t xml:space="preserve">Aanbevolen maatregel: HR++ dubbelglas</w:t>
      </w:r>
    </w:p>
    <w:p>
      <w:pPr>
        <w:pStyle w:val="Normal"/>
        <w:spacing w:before="0" w:after="60"/>
      </w:pPr>
      <w:r>
        <w:rPr>
          <w:rFonts w:ascii="Calibri" w:hAnsi="Calibri" w:cs="Calibri"/>
          <w:sz w:val="22"/>
          <w:szCs w:val="22"/>
          <w:color w:val="666666"/>
        </w:rPr>
        <w:t xml:space="preserve">Geschatte oppervlakte: ca. 7 m²</w:t>
      </w:r>
    </w:p>
    <w:p>
      <w:pPr>
        <w:pStyle w:val="Normal"/>
        <w:spacing w:before="0" w:after="60"/>
      </w:pPr>
      <w:r>
        <w:rPr>
          <w:rFonts w:ascii="Calibri" w:hAnsi="Calibri" w:cs="Calibri"/>
          <w:sz w:val="22"/>
          <w:szCs w:val="22"/>
          <w:color w:val="1D1D1B"/>
        </w:rPr>
        <w:t xml:space="preserve">Indicatieve besparing: €230–€312 per jaar</w:t>
      </w:r>
    </w:p>
    <w:p>
      <w:pPr>
        <w:pStyle w:val="Normal"/>
        <w:spacing w:before="0" w:after="60"/>
      </w:pPr>
      <w:r>
        <w:rPr>
          <w:rFonts w:ascii="Calibri" w:hAnsi="Calibri" w:cs="Calibri"/>
          <w:sz w:val="22"/>
          <w:szCs w:val="22"/>
          <w:color w:val="1D1D1B"/>
        </w:rPr>
        <w:t xml:space="preserve">Indicatieve investering: €576–€972</w:t>
      </w:r>
    </w:p>
    <w:p>
      <w:pPr>
        <w:pStyle w:val="Normal"/>
        <w:spacing w:before="0" w:after="60"/>
      </w:pPr>
      <w:r>
        <w:rPr>
          <w:rFonts w:ascii="Calibri" w:hAnsi="Calibri" w:cs="Calibri"/>
          <w:sz w:val="22"/>
          <w:szCs w:val="22"/>
          <w:color w:val="2E7D32"/>
        </w:rPr>
        <w:t xml:space="preserve">ISDE-subsidie indicatie: tot €180</w:t>
      </w:r>
    </w:p>
    <w:p>
      <w:pPr>
        <w:pStyle w:val="Normal"/>
        <w:spacing w:before="0" w:after="200"/>
      </w:pPr>
      <w:r>
        <w:rPr>
          <w:rFonts w:ascii="Calibri" w:hAnsi="Calibri" w:cs="Calibri"/>
          <w:sz w:val="22"/>
          <w:szCs w:val="22"/>
          <w:color w:val="1D1D1B"/>
        </w:rPr>
        <w:t xml:space="preserve">Terugverdientijd na subsidie: ca. 1–3 jaar</w:t>
      </w:r>
    </w:p>
    <w:p>
      <w:pPr>
        <w:pStyle w:val="Normal"/>
        <w:spacing w:before="0" w:after="60"/>
      </w:pPr>
      <w:r>
        <w:rPr>
          <w:b/>
          <w:rFonts w:ascii="Calibri" w:hAnsi="Calibri" w:cs="Calibri"/>
          <w:sz w:val="22"/>
          <w:szCs w:val="22"/>
          <w:color w:val="5AAA00"/>
        </w:rPr>
        <w:t xml:space="preserve">4. Vloer  —  score 4/5  —  Hoge urgentie</w:t>
      </w:r>
    </w:p>
    <w:p>
      <w:pPr>
        <w:pStyle w:val="Normal"/>
        <w:spacing w:before="0" w:after="60"/>
      </w:pPr>
      <w:r>
        <w:rPr>
          <w:rFonts w:ascii="Calibri" w:hAnsi="Calibri" w:cs="Calibri"/>
          <w:sz w:val="22"/>
          <w:szCs w:val="22"/>
          <w:color w:val="1D1D1B"/>
        </w:rPr>
        <w:t xml:space="preserve">Aanbevolen maatregel: Vloerisolatie</w:t>
      </w:r>
    </w:p>
    <w:p>
      <w:pPr>
        <w:pStyle w:val="Normal"/>
        <w:spacing w:before="0" w:after="60"/>
      </w:pPr>
      <w:r>
        <w:rPr>
          <w:rFonts w:ascii="Calibri" w:hAnsi="Calibri" w:cs="Calibri"/>
          <w:sz w:val="22"/>
          <w:szCs w:val="22"/>
          <w:color w:val="666666"/>
        </w:rPr>
        <w:t xml:space="preserve">Geschatte oppervlakte: ca. 45 m²</w:t>
      </w:r>
    </w:p>
    <w:p>
      <w:pPr>
        <w:pStyle w:val="Normal"/>
        <w:spacing w:before="0" w:after="60"/>
      </w:pPr>
      <w:r>
        <w:rPr>
          <w:rFonts w:ascii="Calibri" w:hAnsi="Calibri" w:cs="Calibri"/>
          <w:sz w:val="22"/>
          <w:szCs w:val="22"/>
          <w:color w:val="1D1D1B"/>
        </w:rPr>
        <w:t xml:space="preserve">Indicatieve besparing: €173–€234 per jaar</w:t>
      </w:r>
    </w:p>
    <w:p>
      <w:pPr>
        <w:pStyle w:val="Normal"/>
        <w:spacing w:before="0" w:after="60"/>
      </w:pPr>
      <w:r>
        <w:rPr>
          <w:rFonts w:ascii="Calibri" w:hAnsi="Calibri" w:cs="Calibri"/>
          <w:sz w:val="22"/>
          <w:szCs w:val="22"/>
          <w:color w:val="1D1D1B"/>
        </w:rPr>
        <w:t xml:space="preserve">Indicatieve investering: €1,125–€2,475</w:t>
      </w:r>
    </w:p>
    <w:p>
      <w:pPr>
        <w:pStyle w:val="Normal"/>
        <w:spacing w:before="0" w:after="60"/>
      </w:pPr>
      <w:r>
        <w:rPr>
          <w:rFonts w:ascii="Calibri" w:hAnsi="Calibri" w:cs="Calibri"/>
          <w:sz w:val="22"/>
          <w:szCs w:val="22"/>
          <w:color w:val="2E7D32"/>
        </w:rPr>
        <w:t xml:space="preserve">ISDE-subsidie indicatie: tot €248</w:t>
      </w:r>
    </w:p>
    <w:p>
      <w:pPr>
        <w:pStyle w:val="Normal"/>
        <w:spacing w:before="0" w:after="160"/>
      </w:pPr>
      <w:r>
        <w:rPr>
          <w:rFonts w:ascii="Calibri" w:hAnsi="Calibri" w:cs="Calibri"/>
          <w:sz w:val="22"/>
          <w:szCs w:val="22"/>
          <w:color w:val="1D1D1B"/>
        </w:rPr>
        <w:t xml:space="preserve">Terugverdientijd na subsidie: ca. 4–13 jaar</w:t>
      </w:r>
    </w:p>
    <w:p>
      <w:pPr>
        <w:pStyle w:val="Normal"/>
        <w:spacing w:before="0" w:after="160"/>
      </w:pPr>
      <w:r>
        <w:rPr>
          <w:rFonts w:ascii="Calibri" w:hAnsi="Calibri" w:cs="Calibri"/>
          <w:sz w:val="22"/>
          <w:szCs w:val="22"/>
          <w:color w:val="999999"/>
        </w:rPr>
        <w:t xml:space="preserve">Financiële indicaties zijn schattingen op basis van bouwjaar en gemiddelde woningkenmerken. Definitieve bedragen hangen af van de werkelijke situatie ter plaatse.</w:t>
      </w:r>
    </w:p>
    <w:p w14:paraId="6D6ED4B4" w14:textId="3311D600" w:rsidR="0072010A" w:rsidRPr="00DC422D" w:rsidRDefault="00B346C3">
      <w:pPr>
        <w:pStyle w:val="Kop1"/>
        <w:pBdr>
          <w:bottom w:val="single" w:sz="4" w:space="4" w:color="2E6BE6"/>
        </w:pBdr>
        <w:rPr>
          <w:color w:val="5AAA00"/>
        </w:rPr>
      </w:pPr>
      <w:r w:rsidRPr="00DC422D">
        <w:rPr>
          <w:color w:val="5AAA00"/>
        </w:rPr>
        <w:lastRenderedPageBreak/>
        <w:t>Aandachtspunten en risico’s</w:t>
      </w:r>
    </w:p>
    <w:p w14:paraId="6D6ED4B5" w14:textId="77777777" w:rsidR="0072010A" w:rsidRDefault="00B346C3">
      <w:pPr>
        <w:spacing w:before="80" w:after="160"/>
      </w:pPr>
      <w:r>
        <w:rPr>
          <w:color w:val="1A2340"/>
        </w:rPr>
        <w:t xml:space="preserve">- Spouwvervuiling (1946–1964): in de spouw bevindt zich vaak valspecie of puin. Bij na-isolatie fungeren deze resten als vochtbruggen naar de binnenmuur. Een endoscopisch onderzoek is essentieel: controleer of de spouw schoon is en minimaal 50 mm breed, en beoordeel de kwaliteit van de spouwankers.</w:t>
      </w:r>
      <w:proofErr w:type="spellStart"/>
      <w:r>
        <w:rPr>
          <w:color w:val="1A2340"/>
        </w:rPr>
        <w:t/>
      </w:r>
      <w:proofErr w:type="spellEnd"/>
      <w:r>
        <w:rPr>
          <w:color w:val="1A2340"/>
        </w:rPr>
        <w:t/>
      </w:r>
    </w:p>
    <w:p>
      <w:pPr>
        <w:spacing w:before="80" w:after="160"/>
      </w:pPr>
      <w:r>
        <w:rPr>
          <w:color w:val="1A2340"/>
        </w:rPr>
        <w:t xml:space="preserve">- Kitwerk spouw: zorg dat naden tussen kozijnen en metselwerk aan de binnenzijde goed zijn afgekit met acrylaatkit (geen siliconen of PUR) om te voorkomen dat isolatiemateriaal de woning binnendringt.</w:t>
      </w:r>
    </w:p>
    <w:p>
      <w:pPr>
        <w:spacing w:before="80" w:after="160"/>
      </w:pPr>
      <w:r>
        <w:rPr>
          <w:color w:val="1A2340"/>
        </w:rPr>
        <w:t xml:space="preserve">- Koudebruggen (1965–1974): doorlopende betonvloeren of balkons fungeren als grote koudebruggen. Na spouwisolatie stijgt de muurtemperatuur, maar de koudebrug blijft koud. Als bewoners minder ventileren, concentreert schimmel zich op deze betonpunten. Spoor koudebruggen op met een thermische scan in de winter; let op roeststrepen boven ramen (stalen balken als koudebrug). Isoleer ernstige koudebruggen afzonderlijk met Aerogel-strips.</w:t>
      </w:r>
    </w:p>
    <w:p>
      <w:pPr>
        <w:spacing w:before="80" w:after="160"/>
      </w:pPr>
      <w:r>
        <w:rPr>
          <w:color w:val="1A2340"/>
        </w:rPr>
        <w:t xml:space="preserve">- Verouderd dubbelglas: veel originele ramen zijn vervangen door glas uit de jaren 80–90 dat inmiddels zijn isolatiewaarde heeft verloren en nauwelijks beter presteert dan enkel glas.</w:t>
      </w:r>
    </w:p>
    <w:p>
      <w:pPr>
        <w:spacing w:before="120" w:after="120"/>
      </w:pPr>
    </w:p>
    <w:p>
      <w:pPr>
        <w:spacing w:before="80" w:after="160"/>
      </w:pPr>
      <w:r>
        <w:rPr>
          <w:color w:val="1A2340"/>
        </w:rPr>
        <w:t xml:space="preserve">Laat de bevindingen bevestigen via een foto-inspectie of maatwerkadvies. Neem contact op met PandIQ voor een concrete vervolgstap: www.pandiq.nl</w:t>
      </w:r>
    </w:p>
    <w:p w14:paraId="6D6ED4B6" w14:textId="77777777" w:rsidR="0072010A" w:rsidRDefault="0072010A">
      <w:pPr>
        <w:pBdr>
          <w:bottom w:val="single" w:sz="2" w:space="1" w:color="D0D8EC"/>
        </w:pBdr>
        <w:spacing w:before="160" w:after="160"/>
      </w:pPr>
    </w:p>
    <w:p w14:paraId="6D6ED4B7" w14:textId="6AC174ED" w:rsidR="0072010A" w:rsidRPr="00DC422D" w:rsidRDefault="00B346C3">
      <w:pPr>
        <w:pStyle w:val="Kop1"/>
        <w:pBdr>
          <w:bottom w:val="single" w:sz="4" w:space="4" w:color="2E6BE6"/>
        </w:pBdr>
        <w:rPr>
          <w:color w:val="5AAA00"/>
        </w:rPr>
      </w:pPr>
      <w:r w:rsidRPr="00DC422D">
        <w:rPr>
          <w:color w:val="5AAA00"/>
        </w:rPr>
        <w:t>Mogelijk relevante subsidies</w:t>
      </w:r>
    </w:p>
    <w:tbl>
      <w:tblPr>
        <w:tblW w:w="9026" w:type="dxa"/>
        <w:tblLook w:firstColumn="1" w:firstRow="1" w:lastColumn="0" w:lastRow="0" w:noHBand="0" w:noVBand="1" w:val="04A0"/>
      </w:tblPr>
      <w:tblGrid>
        <w:gridCol w:w="3200"/>
        <w:gridCol w:w="1456"/>
        <w:gridCol w:w="1457"/>
        <w:gridCol w:w="1457"/>
        <w:gridCol w:w="1456"/>
      </w:tblGrid>
      <w:tr>
        <w:trPr>
          <w:trHeight w:val="400" w:hRule="atLeast"/>
        </w:trPr>
        <w:tc>
          <w:tcPr>
            <w:tcW w:w="3200" w:type="dxa"/>
            <w:shd w:val="clear" w:color="auto" w:fill="5AAA00"/>
          </w:tcPr>
          <w:p>
            <w:r/>
            <w:r>
              <w:rPr>
                <w:rFonts w:ascii="Calibri" w:hAnsi="Calibri"/>
                <w:b/>
                <w:i w:val="0"/>
                <w:color w:val="FFFFFF"/>
                <w:sz w:val="22"/>
              </w:rPr>
              <w:t>Maatregel</w:t>
            </w:r>
          </w:p>
        </w:tc>
        <w:tc>
          <w:tcPr>
            <w:tcW w:w="1456" w:type="dxa"/>
            <w:shd w:val="clear" w:color="auto" w:fill="5AAA00"/>
          </w:tcPr>
          <w:p>
            <w:r/>
            <w:r>
              <w:rPr>
                <w:rFonts w:ascii="Calibri" w:hAnsi="Calibri"/>
                <w:b/>
                <w:i w:val="0"/>
                <w:color w:val="FFFFFF"/>
                <w:sz w:val="22"/>
              </w:rPr>
              <w:t>Enkelvoudig</w:t>
            </w:r>
          </w:p>
        </w:tc>
        <w:tc>
          <w:tcPr>
            <w:tcW w:w="1457" w:type="dxa"/>
            <w:shd w:val="clear" w:color="auto" w:fill="5AAA00"/>
          </w:tcPr>
          <w:p>
            <w:r/>
            <w:r>
              <w:rPr>
                <w:rFonts w:ascii="Calibri" w:hAnsi="Calibri"/>
                <w:b/>
                <w:i w:val="0"/>
                <w:color w:val="FFFFFF"/>
                <w:sz w:val="22"/>
              </w:rPr>
              <w:t>Meervoudig</w:t>
            </w:r>
          </w:p>
        </w:tc>
        <w:tc>
          <w:tcPr>
            <w:tcW w:w="1457" w:type="dxa"/>
            <w:shd w:val="clear" w:color="auto" w:fill="5AAA00"/>
          </w:tcPr>
          <w:p>
            <w:r/>
            <w:r>
              <w:rPr>
                <w:rFonts w:ascii="Calibri" w:hAnsi="Calibri"/>
                <w:b/>
                <w:i w:val="0"/>
                <w:color w:val="FFFFFF"/>
                <w:sz w:val="22"/>
              </w:rPr>
              <w:t>Biobased bonus</w:t>
            </w:r>
          </w:p>
        </w:tc>
        <w:tc>
          <w:tcPr>
            <w:tcW w:w="1456" w:type="dxa"/>
            <w:shd w:val="clear" w:color="auto" w:fill="5AAA00"/>
          </w:tcPr>
          <w:p>
            <w:r/>
            <w:r>
              <w:rPr>
                <w:rFonts w:ascii="Calibri" w:hAnsi="Calibri"/>
                <w:b/>
                <w:i w:val="0"/>
                <w:color w:val="FFFFFF"/>
                <w:sz w:val="22"/>
              </w:rPr>
              <w:t>Min. Rc/Rd</w:t>
            </w:r>
          </w:p>
        </w:tc>
      </w:tr>
      <w:tr>
        <w:trPr>
          <w:trHeight w:val="400" w:hRule="atLeast"/>
        </w:trPr>
        <w:tc>
          <w:tcPr>
            <w:tcW w:type="dxa" w:w="3200"/>
          </w:tcPr>
          <w:p>
            <w:r/>
            <w:r>
              <w:rPr>
                <w:rFonts w:ascii="Calibri" w:hAnsi="Calibri"/>
                <w:b w:val="0"/>
                <w:i w:val="0"/>
                <w:color w:val="999999"/>
                <w:sz w:val="22"/>
              </w:rPr>
              <w:t>Gevelisolatie (binnen/buiten)</w:t>
            </w:r>
          </w:p>
        </w:tc>
        <w:tc>
          <w:tcPr>
            <w:tcW w:type="dxa" w:w="1456"/>
          </w:tcPr>
          <w:p>
            <w:r/>
            <w:r>
              <w:rPr>
                <w:rFonts w:ascii="Calibri" w:hAnsi="Calibri"/>
                <w:b w:val="0"/>
                <w:i w:val="0"/>
                <w:color w:val="999999"/>
                <w:sz w:val="22"/>
              </w:rPr>
              <w:t>€ 10.13/m²</w:t>
            </w:r>
          </w:p>
        </w:tc>
        <w:tc>
          <w:tcPr>
            <w:tcW w:type="dxa" w:w="1457"/>
          </w:tcPr>
          <w:p>
            <w:r/>
            <w:r>
              <w:rPr>
                <w:rFonts w:ascii="Calibri" w:hAnsi="Calibri"/>
                <w:b w:val="0"/>
                <w:i w:val="0"/>
                <w:color w:val="999999"/>
                <w:sz w:val="22"/>
              </w:rPr>
              <w:t>€ 20.25/m²</w:t>
            </w:r>
          </w:p>
        </w:tc>
        <w:tc>
          <w:tcPr>
            <w:tcW w:type="dxa" w:w="1457"/>
          </w:tcPr>
          <w:p>
            <w:r/>
            <w:r>
              <w:rPr>
                <w:rFonts w:ascii="Calibri" w:hAnsi="Calibri"/>
                <w:b w:val="0"/>
                <w:i w:val="0"/>
                <w:color w:val="999999"/>
                <w:sz w:val="22"/>
              </w:rPr>
              <w:t>+ € 6.00/m²</w:t>
            </w:r>
          </w:p>
        </w:tc>
        <w:tc>
          <w:tcPr>
            <w:tcW w:type="dxa" w:w="1456"/>
          </w:tcPr>
          <w:p>
            <w:r/>
            <w:r>
              <w:rPr>
                <w:rFonts w:ascii="Calibri" w:hAnsi="Calibri"/>
                <w:b w:val="0"/>
                <w:i w:val="0"/>
                <w:color w:val="999999"/>
                <w:sz w:val="22"/>
              </w:rPr>
              <w:t>Rc ≥ 3,5 / Rd ≥ 2,5 m²K/W</w:t>
            </w:r>
          </w:p>
        </w:tc>
      </w:tr>
      <w:tr>
        <w:trPr>
          <w:trHeight w:val="400" w:hRule="atLeast"/>
        </w:trPr>
        <w:tc>
          <w:tcPr>
            <w:tcW w:type="dxa" w:w="3200"/>
            <w:shd w:val="clear" w:color="auto" w:fill="FFFFFF"/>
          </w:tcPr>
          <w:p>
            <w:r/>
            <w:r>
              <w:rPr>
                <w:rFonts w:ascii="Calibri" w:hAnsi="Calibri"/>
                <w:b/>
                <w:i w:val="0"/>
                <w:color w:val="1D1D1B"/>
                <w:sz w:val="22"/>
              </w:rPr>
              <w:t>Dakisolatie</w:t>
            </w:r>
          </w:p>
        </w:tc>
        <w:tc>
          <w:tcPr>
            <w:tcW w:type="dxa" w:w="1456"/>
            <w:shd w:val="clear" w:color="auto" w:fill="FFFFFF"/>
          </w:tcPr>
          <w:p>
            <w:r/>
            <w:r>
              <w:rPr>
                <w:rFonts w:ascii="Calibri" w:hAnsi="Calibri"/>
                <w:b w:val="0"/>
                <w:i w:val="0"/>
                <w:color w:val="1D1D1B"/>
                <w:sz w:val="22"/>
              </w:rPr>
              <w:t>€ 8.13/m²</w:t>
            </w:r>
          </w:p>
        </w:tc>
        <w:tc>
          <w:tcPr>
            <w:tcW w:type="dxa" w:w="1457"/>
            <w:shd w:val="clear" w:color="auto" w:fill="FFFFFF"/>
          </w:tcPr>
          <w:p>
            <w:r/>
            <w:r>
              <w:rPr>
                <w:rFonts w:ascii="Calibri" w:hAnsi="Calibri"/>
                <w:b/>
                <w:i w:val="0"/>
                <w:color w:val="1D1D1B"/>
                <w:sz w:val="22"/>
              </w:rPr>
              <w:t>€ 16.25/m²</w:t>
            </w:r>
          </w:p>
        </w:tc>
        <w:tc>
          <w:tcPr>
            <w:tcW w:type="dxa" w:w="1457"/>
            <w:shd w:val="clear" w:color="auto" w:fill="FFFFFF"/>
          </w:tcPr>
          <w:p>
            <w:r/>
            <w:r>
              <w:rPr>
                <w:rFonts w:ascii="Calibri" w:hAnsi="Calibri"/>
                <w:b w:val="0"/>
                <w:i w:val="0"/>
                <w:color w:val="1D1D1B"/>
                <w:sz w:val="22"/>
              </w:rPr>
              <w:t>+ € 5.00/m²</w:t>
            </w:r>
          </w:p>
        </w:tc>
        <w:tc>
          <w:tcPr>
            <w:tcW w:type="dxa" w:w="1456"/>
            <w:shd w:val="clear" w:color="auto" w:fill="FFFFFF"/>
          </w:tcPr>
          <w:p>
            <w:r/>
            <w:r>
              <w:rPr>
                <w:rFonts w:ascii="Calibri" w:hAnsi="Calibri"/>
                <w:b w:val="0"/>
                <w:i w:val="0"/>
                <w:color w:val="1D1D1B"/>
                <w:sz w:val="22"/>
              </w:rPr>
              <w:t>Rc ≥ 3,5 m²K/W</w:t>
            </w:r>
          </w:p>
        </w:tc>
      </w:tr>
      <w:tr>
        <w:trPr>
          <w:trHeight w:val="400" w:hRule="atLeast"/>
        </w:trPr>
        <w:tc>
          <w:tcPr>
            <w:tcW w:type="dxa" w:w="3200"/>
          </w:tcPr>
          <w:p>
            <w:r/>
            <w:r>
              <w:rPr>
                <w:rFonts w:ascii="Calibri" w:hAnsi="Calibri"/>
                <w:b w:val="0"/>
                <w:i w:val="0"/>
                <w:color w:val="999999"/>
                <w:sz w:val="22"/>
              </w:rPr>
              <w:t>Zoldervloerisolatie</w:t>
            </w:r>
          </w:p>
        </w:tc>
        <w:tc>
          <w:tcPr>
            <w:tcW w:type="dxa" w:w="1456"/>
          </w:tcPr>
          <w:p>
            <w:r/>
            <w:r>
              <w:rPr>
                <w:rFonts w:ascii="Calibri" w:hAnsi="Calibri"/>
                <w:b w:val="0"/>
                <w:i w:val="0"/>
                <w:color w:val="999999"/>
                <w:sz w:val="22"/>
              </w:rPr>
              <w:t>€ 2.00/m²</w:t>
            </w:r>
          </w:p>
        </w:tc>
        <w:tc>
          <w:tcPr>
            <w:tcW w:type="dxa" w:w="1457"/>
          </w:tcPr>
          <w:p>
            <w:r/>
            <w:r>
              <w:rPr>
                <w:rFonts w:ascii="Calibri" w:hAnsi="Calibri"/>
                <w:b w:val="0"/>
                <w:i w:val="0"/>
                <w:color w:val="999999"/>
                <w:sz w:val="22"/>
              </w:rPr>
              <w:t>€ 4.00/m²</w:t>
            </w:r>
          </w:p>
        </w:tc>
        <w:tc>
          <w:tcPr>
            <w:tcW w:type="dxa" w:w="1457"/>
          </w:tcPr>
          <w:p>
            <w:r/>
            <w:r>
              <w:rPr>
                <w:rFonts w:ascii="Calibri" w:hAnsi="Calibri"/>
                <w:b w:val="0"/>
                <w:i w:val="0"/>
                <w:color w:val="999999"/>
                <w:sz w:val="22"/>
              </w:rPr>
              <w:t>+ € 1.50/m²</w:t>
            </w:r>
          </w:p>
        </w:tc>
        <w:tc>
          <w:tcPr>
            <w:tcW w:type="dxa" w:w="1456"/>
          </w:tcPr>
          <w:p>
            <w:r/>
            <w:r>
              <w:rPr>
                <w:rFonts w:ascii="Calibri" w:hAnsi="Calibri"/>
                <w:b w:val="0"/>
                <w:i w:val="0"/>
                <w:color w:val="999999"/>
                <w:sz w:val="22"/>
              </w:rPr>
              <w:t>Rc ≥ 3,5 m²K/W</w:t>
            </w:r>
          </w:p>
        </w:tc>
      </w:tr>
      <w:tr>
        <w:trPr>
          <w:trHeight w:val="400" w:hRule="atLeast"/>
        </w:trPr>
        <w:tc>
          <w:tcPr>
            <w:tcW w:type="dxa" w:w="3200"/>
            <w:shd w:val="clear" w:color="auto" w:fill="FFFFFF"/>
          </w:tcPr>
          <w:p>
            <w:r/>
            <w:r>
              <w:rPr>
                <w:rFonts w:ascii="Calibri" w:hAnsi="Calibri"/>
                <w:b/>
                <w:i w:val="0"/>
                <w:color w:val="1D1D1B"/>
                <w:sz w:val="22"/>
              </w:rPr>
              <w:t>Spouwmuurisolatie</w:t>
            </w:r>
          </w:p>
        </w:tc>
        <w:tc>
          <w:tcPr>
            <w:tcW w:type="dxa" w:w="1456"/>
            <w:shd w:val="clear" w:color="auto" w:fill="FFFFFF"/>
          </w:tcPr>
          <w:p>
            <w:r/>
            <w:r>
              <w:rPr>
                <w:rFonts w:ascii="Calibri" w:hAnsi="Calibri"/>
                <w:b w:val="0"/>
                <w:i w:val="0"/>
                <w:color w:val="1D1D1B"/>
                <w:sz w:val="22"/>
              </w:rPr>
              <w:t>€ 2.63/m²</w:t>
            </w:r>
          </w:p>
        </w:tc>
        <w:tc>
          <w:tcPr>
            <w:tcW w:type="dxa" w:w="1457"/>
            <w:shd w:val="clear" w:color="auto" w:fill="FFFFFF"/>
          </w:tcPr>
          <w:p>
            <w:r/>
            <w:r>
              <w:rPr>
                <w:rFonts w:ascii="Calibri" w:hAnsi="Calibri"/>
                <w:b/>
                <w:i w:val="0"/>
                <w:color w:val="1D1D1B"/>
                <w:sz w:val="22"/>
              </w:rPr>
              <w:t>€ 5.25/m²</w:t>
            </w:r>
          </w:p>
        </w:tc>
        <w:tc>
          <w:tcPr>
            <w:tcW w:type="dxa" w:w="1457"/>
            <w:shd w:val="clear" w:color="auto" w:fill="FFFFFF"/>
          </w:tcPr>
          <w:p>
            <w:r/>
            <w:r>
              <w:rPr>
                <w:rFonts w:ascii="Calibri" w:hAnsi="Calibri"/>
                <w:b w:val="0"/>
                <w:i w:val="0"/>
                <w:color w:val="1D1D1B"/>
                <w:sz w:val="22"/>
              </w:rPr>
              <w:t>+ € 1.50/m²</w:t>
            </w:r>
          </w:p>
        </w:tc>
        <w:tc>
          <w:tcPr>
            <w:tcW w:type="dxa" w:w="1456"/>
            <w:shd w:val="clear" w:color="auto" w:fill="FFFFFF"/>
          </w:tcPr>
          <w:p>
            <w:r/>
            <w:r>
              <w:rPr>
                <w:rFonts w:ascii="Calibri" w:hAnsi="Calibri"/>
                <w:b w:val="0"/>
                <w:i w:val="0"/>
                <w:color w:val="1D1D1B"/>
                <w:sz w:val="22"/>
              </w:rPr>
              <w:t>Rc ≥ 1,1 m²K/W</w:t>
            </w:r>
          </w:p>
        </w:tc>
      </w:tr>
      <w:tr>
        <w:trPr>
          <w:trHeight w:val="400" w:hRule="atLeast"/>
        </w:trPr>
        <w:tc>
          <w:tcPr>
            <w:tcW w:type="dxa" w:w="3200"/>
            <w:shd w:val="clear" w:color="auto" w:fill="FFFFFF"/>
          </w:tcPr>
          <w:p>
            <w:r/>
            <w:r>
              <w:rPr>
                <w:rFonts w:ascii="Calibri" w:hAnsi="Calibri"/>
                <w:b/>
                <w:i w:val="0"/>
                <w:color w:val="1D1D1B"/>
                <w:sz w:val="22"/>
              </w:rPr>
              <w:t>Vloerisolatie</w:t>
            </w:r>
          </w:p>
        </w:tc>
        <w:tc>
          <w:tcPr>
            <w:tcW w:type="dxa" w:w="1456"/>
            <w:shd w:val="clear" w:color="auto" w:fill="FFFFFF"/>
          </w:tcPr>
          <w:p>
            <w:r/>
            <w:r>
              <w:rPr>
                <w:rFonts w:ascii="Calibri" w:hAnsi="Calibri"/>
                <w:b w:val="0"/>
                <w:i w:val="0"/>
                <w:color w:val="1D1D1B"/>
                <w:sz w:val="22"/>
              </w:rPr>
              <w:t>€ 2.75/m²</w:t>
            </w:r>
          </w:p>
        </w:tc>
        <w:tc>
          <w:tcPr>
            <w:tcW w:type="dxa" w:w="1457"/>
            <w:shd w:val="clear" w:color="auto" w:fill="FFFFFF"/>
          </w:tcPr>
          <w:p>
            <w:r/>
            <w:r>
              <w:rPr>
                <w:rFonts w:ascii="Calibri" w:hAnsi="Calibri"/>
                <w:b/>
                <w:i w:val="0"/>
                <w:color w:val="1D1D1B"/>
                <w:sz w:val="22"/>
              </w:rPr>
              <w:t>€ 5.50/m²</w:t>
            </w:r>
          </w:p>
        </w:tc>
        <w:tc>
          <w:tcPr>
            <w:tcW w:type="dxa" w:w="1457"/>
            <w:shd w:val="clear" w:color="auto" w:fill="FFFFFF"/>
          </w:tcPr>
          <w:p>
            <w:r/>
            <w:r>
              <w:rPr>
                <w:rFonts w:ascii="Calibri" w:hAnsi="Calibri"/>
                <w:b w:val="0"/>
                <w:i w:val="0"/>
                <w:color w:val="1D1D1B"/>
                <w:sz w:val="22"/>
              </w:rPr>
              <w:t>+ € 2.00/m²</w:t>
            </w:r>
          </w:p>
        </w:tc>
        <w:tc>
          <w:tcPr>
            <w:tcW w:type="dxa" w:w="1456"/>
            <w:shd w:val="clear" w:color="auto" w:fill="FFFFFF"/>
          </w:tcPr>
          <w:p>
            <w:r/>
            <w:r>
              <w:rPr>
                <w:rFonts w:ascii="Calibri" w:hAnsi="Calibri"/>
                <w:b w:val="0"/>
                <w:i w:val="0"/>
                <w:color w:val="1D1D1B"/>
                <w:sz w:val="22"/>
              </w:rPr>
              <w:t>Rc ≥ 3,5 m²K/W</w:t>
            </w:r>
          </w:p>
        </w:tc>
      </w:tr>
      <w:tr>
        <w:trPr>
          <w:trHeight w:val="400" w:hRule="atLeast"/>
        </w:trPr>
        <w:tc>
          <w:tcPr>
            <w:tcW w:type="dxa" w:w="3200"/>
            <w:shd w:val="clear" w:color="auto" w:fill="FFFFFF"/>
          </w:tcPr>
          <w:p>
            <w:r/>
            <w:r>
              <w:rPr>
                <w:rFonts w:ascii="Calibri" w:hAnsi="Calibri"/>
                <w:b/>
                <w:i w:val="0"/>
                <w:color w:val="1D1D1B"/>
                <w:sz w:val="22"/>
              </w:rPr>
              <w:t>Bodemisolatie (kruipruimte)</w:t>
            </w:r>
          </w:p>
        </w:tc>
        <w:tc>
          <w:tcPr>
            <w:tcW w:type="dxa" w:w="1456"/>
            <w:shd w:val="clear" w:color="auto" w:fill="FFFFFF"/>
          </w:tcPr>
          <w:p>
            <w:r/>
            <w:r>
              <w:rPr>
                <w:rFonts w:ascii="Calibri" w:hAnsi="Calibri"/>
                <w:b w:val="0"/>
                <w:i w:val="0"/>
                <w:color w:val="1D1D1B"/>
                <w:sz w:val="22"/>
              </w:rPr>
              <w:t>€ 1.50/m²</w:t>
            </w:r>
          </w:p>
        </w:tc>
        <w:tc>
          <w:tcPr>
            <w:tcW w:type="dxa" w:w="1457"/>
            <w:shd w:val="clear" w:color="auto" w:fill="FFFFFF"/>
          </w:tcPr>
          <w:p>
            <w:r/>
            <w:r>
              <w:rPr>
                <w:rFonts w:ascii="Calibri" w:hAnsi="Calibri"/>
                <w:b/>
                <w:i w:val="0"/>
                <w:color w:val="1D1D1B"/>
                <w:sz w:val="22"/>
              </w:rPr>
              <w:t>€ 3.00/m²</w:t>
            </w:r>
          </w:p>
        </w:tc>
        <w:tc>
          <w:tcPr>
            <w:tcW w:type="dxa" w:w="1457"/>
            <w:shd w:val="clear" w:color="auto" w:fill="FFFFFF"/>
          </w:tcPr>
          <w:p>
            <w:r/>
            <w:r>
              <w:rPr>
                <w:rFonts w:ascii="Calibri" w:hAnsi="Calibri"/>
                <w:b w:val="0"/>
                <w:i w:val="0"/>
                <w:color w:val="1D1D1B"/>
                <w:sz w:val="22"/>
              </w:rPr>
              <w:t>+ € 1.00/m²</w:t>
            </w:r>
          </w:p>
        </w:tc>
        <w:tc>
          <w:tcPr>
            <w:tcW w:type="dxa" w:w="1456"/>
            <w:shd w:val="clear" w:color="auto" w:fill="FFFFFF"/>
          </w:tcPr>
          <w:p>
            <w:r/>
            <w:r>
              <w:rPr>
                <w:rFonts w:ascii="Calibri" w:hAnsi="Calibri"/>
                <w:b w:val="0"/>
                <w:i w:val="0"/>
                <w:color w:val="1D1D1B"/>
                <w:sz w:val="22"/>
              </w:rPr>
              <w:t>Rc ≥ 1,3 m²K/W</w:t>
            </w:r>
          </w:p>
        </w:tc>
      </w:tr>
    </w:tbl>
    <w:p/>
    <w:tbl>
      <w:tblPr>
        <w:tblW w:w="9026" w:type="dxa"/>
        <w:tblLook w:firstColumn="1" w:firstRow="1" w:lastColumn="0" w:lastRow="0" w:noHBand="0" w:noVBand="1" w:val="04A0"/>
      </w:tblPr>
      <w:tblGrid>
        <w:gridCol w:w="3200"/>
        <w:gridCol w:w="1942"/>
        <w:gridCol w:w="1942"/>
        <w:gridCol w:w="1942"/>
      </w:tblGrid>
      <w:tr>
        <w:trPr>
          <w:trHeight w:val="400" w:hRule="atLeast"/>
        </w:trPr>
        <w:tc>
          <w:tcPr>
            <w:tcW w:w="3200" w:type="dxa"/>
            <w:shd w:val="clear" w:color="auto" w:fill="5AAA00"/>
          </w:tcPr>
          <w:p>
            <w:r/>
            <w:r>
              <w:rPr>
                <w:rFonts w:ascii="Calibri" w:hAnsi="Calibri"/>
                <w:b/>
                <w:i w:val="0"/>
                <w:color w:val="FFFFFF"/>
                <w:sz w:val="22"/>
              </w:rPr>
              <w:t>Type glas</w:t>
            </w:r>
          </w:p>
        </w:tc>
        <w:tc>
          <w:tcPr>
            <w:tcW w:w="1942" w:type="dxa"/>
            <w:shd w:val="clear" w:color="auto" w:fill="5AAA00"/>
          </w:tcPr>
          <w:p>
            <w:r/>
            <w:r>
              <w:rPr>
                <w:rFonts w:ascii="Calibri" w:hAnsi="Calibri"/>
                <w:b/>
                <w:i w:val="0"/>
                <w:color w:val="FFFFFF"/>
                <w:sz w:val="22"/>
              </w:rPr>
              <w:t>Enkelvoudig</w:t>
            </w:r>
          </w:p>
        </w:tc>
        <w:tc>
          <w:tcPr>
            <w:tcW w:w="1942" w:type="dxa"/>
            <w:shd w:val="clear" w:color="auto" w:fill="5AAA00"/>
          </w:tcPr>
          <w:p>
            <w:r/>
            <w:r>
              <w:rPr>
                <w:rFonts w:ascii="Calibri" w:hAnsi="Calibri"/>
                <w:b/>
                <w:i w:val="0"/>
                <w:color w:val="FFFFFF"/>
                <w:sz w:val="22"/>
              </w:rPr>
              <w:t>Meervoudig</w:t>
            </w:r>
          </w:p>
        </w:tc>
        <w:tc>
          <w:tcPr>
            <w:tcW w:w="1942" w:type="dxa"/>
            <w:shd w:val="clear" w:color="auto" w:fill="5AAA00"/>
          </w:tcPr>
          <w:p>
            <w:r/>
            <w:r>
              <w:rPr>
                <w:rFonts w:ascii="Calibri" w:hAnsi="Calibri"/>
                <w:b/>
                <w:i w:val="0"/>
                <w:color w:val="FFFFFF"/>
                <w:sz w:val="22"/>
              </w:rPr>
              <w:t>Min. U-waarde</w:t>
            </w:r>
          </w:p>
        </w:tc>
      </w:tr>
      <w:tr>
        <w:trPr>
          <w:trHeight w:val="400" w:hRule="atLeast"/>
        </w:trPr>
        <w:tc>
          <w:tcPr>
            <w:tcW w:type="dxa" w:w="3200"/>
            <w:shd w:val="clear" w:color="auto" w:fill="FFFFFF"/>
          </w:tcPr>
          <w:p>
            <w:r/>
            <w:r>
              <w:rPr>
                <w:rFonts w:ascii="Calibri" w:hAnsi="Calibri"/>
                <w:b/>
                <w:i w:val="0"/>
                <w:color w:val="1D1D1B"/>
                <w:sz w:val="22"/>
              </w:rPr>
              <w:t>HR++ glas</w:t>
            </w:r>
          </w:p>
        </w:tc>
        <w:tc>
          <w:tcPr>
            <w:tcW w:type="dxa" w:w="1942"/>
            <w:shd w:val="clear" w:color="auto" w:fill="FFFFFF"/>
          </w:tcPr>
          <w:p>
            <w:r/>
            <w:r>
              <w:rPr>
                <w:rFonts w:ascii="Calibri" w:hAnsi="Calibri"/>
                <w:b w:val="0"/>
                <w:i w:val="0"/>
                <w:color w:val="1D1D1B"/>
                <w:sz w:val="22"/>
              </w:rPr>
              <w:t>€ 12.50/m²</w:t>
            </w:r>
          </w:p>
        </w:tc>
        <w:tc>
          <w:tcPr>
            <w:tcW w:type="dxa" w:w="1942"/>
            <w:shd w:val="clear" w:color="auto" w:fill="FFFFFF"/>
          </w:tcPr>
          <w:p>
            <w:r/>
            <w:r>
              <w:rPr>
                <w:rFonts w:ascii="Calibri" w:hAnsi="Calibri"/>
                <w:b/>
                <w:i w:val="0"/>
                <w:color w:val="1D1D1B"/>
                <w:sz w:val="22"/>
              </w:rPr>
              <w:t>€ 25.00/m²</w:t>
            </w:r>
          </w:p>
        </w:tc>
        <w:tc>
          <w:tcPr>
            <w:tcW w:type="dxa" w:w="1942"/>
            <w:shd w:val="clear" w:color="auto" w:fill="FFFFFF"/>
          </w:tcPr>
          <w:p>
            <w:r/>
            <w:r>
              <w:rPr>
                <w:rFonts w:ascii="Calibri" w:hAnsi="Calibri"/>
                <w:b w:val="0"/>
                <w:i w:val="0"/>
                <w:color w:val="1D1D1B"/>
                <w:sz w:val="22"/>
              </w:rPr>
              <w:t>U ≤ 1,2 W/m²K</w:t>
            </w:r>
          </w:p>
        </w:tc>
      </w:tr>
      <w:tr>
        <w:trPr>
          <w:trHeight w:val="400" w:hRule="atLeast"/>
        </w:trPr>
        <w:tc>
          <w:tcPr>
            <w:tcW w:type="dxa" w:w="3200"/>
            <w:shd w:val="clear" w:color="auto" w:fill="FFFFFF"/>
          </w:tcPr>
          <w:p>
            <w:r/>
            <w:r>
              <w:rPr>
                <w:rFonts w:ascii="Calibri" w:hAnsi="Calibri"/>
                <w:b/>
                <w:i w:val="0"/>
                <w:color w:val="1D1D1B"/>
                <w:sz w:val="22"/>
              </w:rPr>
              <w:t>Vacuümglas</w:t>
            </w:r>
          </w:p>
        </w:tc>
        <w:tc>
          <w:tcPr>
            <w:tcW w:type="dxa" w:w="1942"/>
            <w:shd w:val="clear" w:color="auto" w:fill="FFFFFF"/>
          </w:tcPr>
          <w:p>
            <w:r/>
            <w:r>
              <w:rPr>
                <w:rFonts w:ascii="Calibri" w:hAnsi="Calibri"/>
                <w:b w:val="0"/>
                <w:i w:val="0"/>
                <w:color w:val="1D1D1B"/>
                <w:sz w:val="22"/>
              </w:rPr>
              <w:t>€ 12.50/m²</w:t>
            </w:r>
          </w:p>
        </w:tc>
        <w:tc>
          <w:tcPr>
            <w:tcW w:type="dxa" w:w="1942"/>
            <w:shd w:val="clear" w:color="auto" w:fill="FFFFFF"/>
          </w:tcPr>
          <w:p>
            <w:r/>
            <w:r>
              <w:rPr>
                <w:rFonts w:ascii="Calibri" w:hAnsi="Calibri"/>
                <w:b/>
                <w:i w:val="0"/>
                <w:color w:val="1D1D1B"/>
                <w:sz w:val="22"/>
              </w:rPr>
              <w:t>€ 25.00/m²</w:t>
            </w:r>
          </w:p>
        </w:tc>
        <w:tc>
          <w:tcPr>
            <w:tcW w:type="dxa" w:w="1942"/>
            <w:shd w:val="clear" w:color="auto" w:fill="FFFFFF"/>
          </w:tcPr>
          <w:p>
            <w:r/>
            <w:r>
              <w:rPr>
                <w:rFonts w:ascii="Calibri" w:hAnsi="Calibri"/>
                <w:b w:val="0"/>
                <w:i w:val="0"/>
                <w:color w:val="1D1D1B"/>
                <w:sz w:val="22"/>
              </w:rPr>
              <w:t>U ≤ 0,7 W/m²K</w:t>
            </w:r>
          </w:p>
        </w:tc>
      </w:tr>
      <w:tr>
        <w:trPr>
          <w:trHeight w:val="400" w:hRule="atLeast"/>
        </w:trPr>
        <w:tc>
          <w:tcPr>
            <w:tcW w:type="dxa" w:w="3200"/>
            <w:shd w:val="clear" w:color="auto" w:fill="FFFFFF"/>
          </w:tcPr>
          <w:p>
            <w:r/>
            <w:r>
              <w:rPr>
                <w:rFonts w:ascii="Calibri" w:hAnsi="Calibri"/>
                <w:b/>
                <w:i w:val="0"/>
                <w:color w:val="1D1D1B"/>
                <w:sz w:val="22"/>
              </w:rPr>
              <w:t>Triple glas</w:t>
            </w:r>
          </w:p>
        </w:tc>
        <w:tc>
          <w:tcPr>
            <w:tcW w:type="dxa" w:w="1942"/>
            <w:shd w:val="clear" w:color="auto" w:fill="FFFFFF"/>
          </w:tcPr>
          <w:p>
            <w:r/>
            <w:r>
              <w:rPr>
                <w:rFonts w:ascii="Calibri" w:hAnsi="Calibri"/>
                <w:b w:val="0"/>
                <w:i w:val="0"/>
                <w:color w:val="1D1D1B"/>
                <w:sz w:val="22"/>
              </w:rPr>
              <w:t>€ 55.50/m²</w:t>
            </w:r>
          </w:p>
        </w:tc>
        <w:tc>
          <w:tcPr>
            <w:tcW w:type="dxa" w:w="1942"/>
            <w:shd w:val="clear" w:color="auto" w:fill="FFFFFF"/>
          </w:tcPr>
          <w:p>
            <w:r/>
            <w:r>
              <w:rPr>
                <w:rFonts w:ascii="Calibri" w:hAnsi="Calibri"/>
                <w:b/>
                <w:i w:val="0"/>
                <w:color w:val="1D1D1B"/>
                <w:sz w:val="22"/>
              </w:rPr>
              <w:t>€ 111.00/m²</w:t>
            </w:r>
          </w:p>
        </w:tc>
        <w:tc>
          <w:tcPr>
            <w:tcW w:type="dxa" w:w="1942"/>
            <w:shd w:val="clear" w:color="auto" w:fill="FFFFFF"/>
          </w:tcPr>
          <w:p>
            <w:r/>
            <w:r>
              <w:rPr>
                <w:rFonts w:ascii="Calibri" w:hAnsi="Calibri"/>
                <w:b w:val="0"/>
                <w:i w:val="0"/>
                <w:color w:val="1D1D1B"/>
                <w:sz w:val="22"/>
              </w:rPr>
              <w:t>U ≤ 0,7 W/m²K</w:t>
            </w:r>
          </w:p>
        </w:tc>
      </w:tr>
      <w:tr>
        <w:trPr>
          <w:trHeight w:val="400" w:hRule="atLeast"/>
        </w:trPr>
        <w:tc>
          <w:tcPr>
            <w:tcW w:type="dxa" w:w="3200"/>
            <w:shd w:val="clear" w:color="auto" w:fill="FFFFFF"/>
          </w:tcPr>
          <w:p>
            <w:r/>
            <w:r>
              <w:rPr>
                <w:rFonts w:ascii="Calibri" w:hAnsi="Calibri"/>
                <w:b/>
                <w:i w:val="0"/>
                <w:color w:val="1D1D1B"/>
                <w:sz w:val="22"/>
              </w:rPr>
              <w:t>Isolerende deuren</w:t>
            </w:r>
          </w:p>
        </w:tc>
        <w:tc>
          <w:tcPr>
            <w:tcW w:type="dxa" w:w="1942"/>
            <w:shd w:val="clear" w:color="auto" w:fill="FFFFFF"/>
          </w:tcPr>
          <w:p>
            <w:r/>
            <w:r>
              <w:rPr>
                <w:rFonts w:ascii="Calibri" w:hAnsi="Calibri"/>
                <w:b w:val="0"/>
                <w:i w:val="0"/>
                <w:color w:val="1D1D1B"/>
                <w:sz w:val="22"/>
              </w:rPr>
              <w:t>€ 55.50/m²</w:t>
            </w:r>
          </w:p>
        </w:tc>
        <w:tc>
          <w:tcPr>
            <w:tcW w:type="dxa" w:w="1942"/>
            <w:shd w:val="clear" w:color="auto" w:fill="FFFFFF"/>
          </w:tcPr>
          <w:p>
            <w:r/>
            <w:r>
              <w:rPr>
                <w:rFonts w:ascii="Calibri" w:hAnsi="Calibri"/>
                <w:b/>
                <w:i w:val="0"/>
                <w:color w:val="1D1D1B"/>
                <w:sz w:val="22"/>
              </w:rPr>
              <w:t>€ 111.00/m²</w:t>
            </w:r>
          </w:p>
        </w:tc>
        <w:tc>
          <w:tcPr>
            <w:tcW w:type="dxa" w:w="1942"/>
            <w:shd w:val="clear" w:color="auto" w:fill="FFFFFF"/>
          </w:tcPr>
          <w:p>
            <w:r/>
            <w:r>
              <w:rPr>
                <w:rFonts w:ascii="Calibri" w:hAnsi="Calibri"/>
                <w:b w:val="0"/>
                <w:i w:val="0"/>
                <w:color w:val="1D1D1B"/>
                <w:sz w:val="22"/>
              </w:rPr>
              <w:t>U ≤ 1,0 W/m²K</w:t>
            </w:r>
          </w:p>
        </w:tc>
      </w:tr>
    </w:tbl>
    <w:p/>
    <w:tbl>
      <w:tblPr>
        <w:tblW w:w="9026" w:type="dxa"/>
        <w:tblLook w:firstColumn="1" w:firstRow="1" w:lastColumn="0" w:lastRow="0" w:noHBand="0" w:noVBand="1" w:val="04A0"/>
      </w:tblPr>
      <w:tblGrid>
        <w:gridCol w:w="3200"/>
        <w:gridCol w:w="1942"/>
        <w:gridCol w:w="1942"/>
        <w:gridCol w:w="1942"/>
      </w:tblGrid>
      <w:tr>
        <w:trPr>
          <w:trHeight w:val="400" w:hRule="atLeast"/>
        </w:trPr>
        <w:tc>
          <w:tcPr>
            <w:tcW w:w="3200" w:type="dxa"/>
            <w:shd w:val="clear" w:color="auto" w:fill="5AAA00"/>
          </w:tcPr>
          <w:p>
            <w:r/>
            <w:r>
              <w:rPr>
                <w:rFonts w:ascii="Calibri" w:hAnsi="Calibri"/>
                <w:b/>
                <w:i w:val="0"/>
                <w:color w:val="FFFFFF"/>
                <w:sz w:val="22"/>
              </w:rPr>
              <w:t>Combinatie</w:t>
            </w:r>
          </w:p>
        </w:tc>
        <w:tc>
          <w:tcPr>
            <w:tcW w:w="1942" w:type="dxa"/>
            <w:shd w:val="clear" w:color="auto" w:fill="5AAA00"/>
          </w:tcPr>
          <w:p>
            <w:r/>
            <w:r>
              <w:rPr>
                <w:rFonts w:ascii="Calibri" w:hAnsi="Calibri"/>
                <w:b/>
                <w:i w:val="0"/>
                <w:color w:val="FFFFFF"/>
                <w:sz w:val="22"/>
              </w:rPr>
              <w:t>Startbedrag</w:t>
            </w:r>
          </w:p>
        </w:tc>
        <w:tc>
          <w:tcPr>
            <w:tcW w:w="1942" w:type="dxa"/>
            <w:shd w:val="clear" w:color="auto" w:fill="5AAA00"/>
          </w:tcPr>
          <w:p>
            <w:r/>
            <w:r>
              <w:rPr>
                <w:rFonts w:ascii="Calibri" w:hAnsi="Calibri"/>
                <w:b/>
                <w:i w:val="0"/>
                <w:color w:val="FFFFFF"/>
                <w:sz w:val="22"/>
              </w:rPr>
              <w:t>Per kW vermogen</w:t>
            </w:r>
          </w:p>
        </w:tc>
        <w:tc>
          <w:tcPr>
            <w:tcW w:w="1942" w:type="dxa"/>
            <w:shd w:val="clear" w:color="auto" w:fill="5AAA00"/>
          </w:tcPr>
          <w:p>
            <w:r/>
            <w:r>
              <w:rPr>
                <w:rFonts w:ascii="Calibri" w:hAnsi="Calibri"/>
                <w:b/>
                <w:i w:val="0"/>
                <w:color w:val="FFFFFF"/>
                <w:sz w:val="22"/>
              </w:rPr>
              <w:t>A+++ bonus</w:t>
            </w:r>
          </w:p>
        </w:tc>
      </w:tr>
      <w:tr>
        <w:trPr>
          <w:trHeight w:val="400" w:hRule="atLeast"/>
        </w:trPr>
        <w:tc>
          <w:tcPr>
            <w:tcW w:w="3200" w:type="dxa"/>
            <w:shd w:val="clear" w:color="auto" w:fill="FFFFFF"/>
          </w:tcPr>
          <w:p>
            <w:r/>
            <w:r>
              <w:rPr>
                <w:rFonts w:ascii="Calibri" w:hAnsi="Calibri"/>
                <w:b/>
                <w:i w:val="0"/>
                <w:color w:val="2E7D32"/>
                <w:sz w:val="22"/>
              </w:rPr>
              <w:t>Isolatie + warmtepomp</w:t>
            </w:r>
          </w:p>
        </w:tc>
        <w:tc>
          <w:tcPr>
            <w:tcW w:w="1942" w:type="dxa"/>
            <w:shd w:val="clear" w:color="auto" w:fill="FFFFFF"/>
          </w:tcPr>
          <w:p>
            <w:r/>
            <w:r>
              <w:rPr>
                <w:rFonts w:ascii="Calibri" w:hAnsi="Calibri"/>
                <w:b w:val="0"/>
                <w:i w:val="0"/>
                <w:color w:val="2E7D32"/>
                <w:sz w:val="22"/>
              </w:rPr>
              <w:t>€ 1,025</w:t>
            </w:r>
          </w:p>
        </w:tc>
        <w:tc>
          <w:tcPr>
            <w:tcW w:w="1942" w:type="dxa"/>
            <w:shd w:val="clear" w:color="auto" w:fill="FFFFFF"/>
          </w:tcPr>
          <w:p>
            <w:r/>
            <w:r>
              <w:rPr>
                <w:rFonts w:ascii="Calibri" w:hAnsi="Calibri"/>
                <w:b w:val="0"/>
                <w:i w:val="0"/>
                <w:color w:val="2E7D32"/>
                <w:sz w:val="22"/>
              </w:rPr>
              <w:t>+ € 225 per kW</w:t>
            </w:r>
          </w:p>
        </w:tc>
        <w:tc>
          <w:tcPr>
            <w:tcW w:w="1942" w:type="dxa"/>
            <w:shd w:val="clear" w:color="auto" w:fill="FFFFFF"/>
          </w:tcPr>
          <w:p>
            <w:r/>
            <w:r>
              <w:rPr>
                <w:rFonts w:ascii="Calibri" w:hAnsi="Calibri"/>
                <w:b w:val="0"/>
                <w:i w:val="0"/>
                <w:color w:val="2E7D32"/>
                <w:sz w:val="22"/>
              </w:rPr>
              <w:t>+ € 200</w:t>
            </w:r>
          </w:p>
        </w:tc>
      </w:tr>
      <w:tr>
        <w:tc>
          <w:tcPr>
            <w:tcW w:w="9026" w:type="dxa"/>
            <w:gridSpan w:val="4"/>
            <w:shd w:val="clear" w:color="auto" w:fill="FFFFFF"/>
          </w:tcPr>
          <w:p>
            <w:r/>
            <w:r>
              <w:rPr>
                <w:rFonts w:ascii="Calibri" w:hAnsi="Calibri"/>
                <w:b w:val="0"/>
                <w:i/>
                <w:color w:val="2E7D32"/>
                <w:sz w:val="22"/>
              </w:rPr>
              <w:t>Na spouw- en vloerisolatie is een warmtepomp bij deze bouwperiode zeer rendabel.</w:t>
            </w:r>
          </w:p>
        </w:tc>
      </w:tr>
    </w:tbl>
    <w:p/>
    <w:tbl>
      <w:tblPr>
        <w:tblW w:type="auto" w:w="0"/>
        <w:tblLook w:firstColumn="1" w:firstRow="1" w:lastColumn="0" w:lastRow="0" w:noHBand="0" w:noVBand="1" w:val="04A0"/>
      </w:tblPr>
      <w:tblGrid>
        <w:gridCol w:w="9638"/>
      </w:tblGrid>
      <w:tr>
        <w:trPr>
          <w:trHeight w:val="400" w:hRule="atLeast"/>
        </w:trPr>
        <w:tc>
          <w:tcPr>
            <w:tcW w:type="dxa" w:w="9638"/>
            <w:shd w:val="clear" w:color="auto" w:fill="FFFFFF"/>
          </w:tcPr>
          <w:p>
            <w:r/>
            <w:r>
              <w:rPr>
                <w:rFonts w:ascii="Calibri" w:hAnsi="Calibri"/>
                <w:b/>
                <w:i w:val="0"/>
                <w:color w:val="2E7D32"/>
                <w:sz w:val="22"/>
              </w:rPr>
              <w:t>Indicatief ISDE-subsidietotaal voor uw woning: tot €2,143 (meervoudig tarief 2026, op basis van geschatte oppervlaktes)</w:t>
            </w:r>
          </w:p>
        </w:tc>
      </w:tr>
      <w:tr>
        <w:tc>
          <w:tcPr>
            <w:tcW w:type="dxa" w:w="9638"/>
            <w:shd w:val="clear" w:color="auto" w:fill="FFFFFF"/>
          </w:tcPr>
          <w:p>
            <w:r/>
            <w:r>
              <w:rPr>
                <w:rFonts w:ascii="Calibri" w:hAnsi="Calibri"/>
                <w:b w:val="0"/>
                <w:i/>
                <w:sz w:val="22"/>
              </w:rPr>
              <w:t>Let op: Controleer de spouw vooraf op vervuiling met een endoscoop. Een vuile spouw (valspecie, puin) vormt een vochtbrug na isolatie.</w:t>
            </w:r>
          </w:p>
        </w:tc>
      </w:tr>
      <w:tr>
        <w:tc>
          <w:tcPr>
            <w:tcW w:type="dxa" w:w="9638"/>
            <w:shd w:val="clear" w:color="auto" w:fill="FFFFFF"/>
          </w:tcPr>
          <w:p>
            <w:r/>
            <w:r>
              <w:rPr>
                <w:rFonts w:ascii="Calibri" w:hAnsi="Calibri"/>
                <w:b w:val="0"/>
                <w:i w:val="0"/>
                <w:sz w:val="22"/>
              </w:rPr>
              <w:t>• Verdubbeling: de genoemde m²-bedragen gelden bij twee of meer maatregelen (of één isolatiemaatregel gecombineerd met een warmtepomp). Bij slechts één maatregel wordt het bedrag gehalveerd.</w:t>
            </w:r>
          </w:p>
        </w:tc>
      </w:tr>
      <w:tr>
        <w:tc>
          <w:tcPr>
            <w:tcW w:type="dxa" w:w="9638"/>
            <w:shd w:val="clear" w:color="auto" w:fill="FFFFFF"/>
          </w:tcPr>
          <w:p>
            <w:r/>
            <w:r>
              <w:rPr>
                <w:rFonts w:ascii="Calibri" w:hAnsi="Calibri"/>
                <w:b w:val="0"/>
                <w:i w:val="0"/>
                <w:sz w:val="22"/>
              </w:rPr>
              <w:t>• Beperkingen: u ontvangt slechts subsidie voor één type vloerisolatie (bodem óf vloer) en één type dakisolatie (dak óf zoldervloer).</w:t>
            </w:r>
          </w:p>
        </w:tc>
      </w:tr>
      <w:tr>
        <w:tc>
          <w:tcPr>
            <w:tcW w:type="dxa" w:w="9638"/>
            <w:shd w:val="clear" w:color="auto" w:fill="FFFFFF"/>
          </w:tcPr>
          <w:p>
            <w:r/>
            <w:r>
              <w:rPr>
                <w:rFonts w:ascii="Calibri" w:hAnsi="Calibri"/>
                <w:b w:val="0"/>
                <w:i w:val="0"/>
                <w:sz w:val="22"/>
              </w:rPr>
              <w:t>• Oppervlaktes: let op de minimale oppervlakte-eisen (bijv. minimaal 10 m² voor gevel en 20 m² voor dak/vloer).</w:t>
            </w:r>
          </w:p>
        </w:tc>
      </w:tr>
    </w:tbl>
    <w:p w14:paraId="6D6ED4B9" w14:textId="77777777" w:rsidR="0072010A" w:rsidRDefault="0072010A">
      <w:pPr>
        <w:pBdr>
          <w:bottom w:val="single" w:sz="2" w:space="1" w:color="D0D8EC"/>
        </w:pBdr>
        <w:spacing w:before="160" w:after="160"/>
      </w:pPr>
    </w:p>
    <w:p w14:paraId="6D6ED4BA" w14:textId="1A20C285" w:rsidR="0072010A" w:rsidRPr="00DC422D" w:rsidRDefault="00B346C3">
      <w:pPr>
        <w:pStyle w:val="Kop1"/>
        <w:pBdr>
          <w:bottom w:val="single" w:sz="4" w:space="4" w:color="2E6BE6"/>
        </w:pBdr>
        <w:rPr>
          <w:color w:val="5AAA00"/>
        </w:rPr>
      </w:pPr>
      <w:r w:rsidRPr="00DC422D">
        <w:rPr>
          <w:color w:val="5AAA00"/>
        </w:rPr>
        <w:t>Vervolgstappen</w:t>
      </w:r>
    </w:p>
    <w:p w14:paraId="6D6ED4BB" w14:textId="77777777" w:rsidR="0072010A" w:rsidRPr="00721FA8" w:rsidRDefault="00B346C3">
      <w:pPr>
        <w:pStyle w:val="Lijstalinea"/>
        <w:numPr>
          <w:ilvl w:val="0"/>
          <w:numId w:val="2"/>
        </w:numPr>
        <w:spacing w:before="60" w:after="60"/>
        <w:rPr>
          <w:color w:val="FF0000"/>
        </w:rPr>
      </w:pPr>
      <w:r w:rsidRPr="00721FA8">
        <w:rPr>
          <w:color w:val="FF0000"/>
        </w:rPr>
        <w:t>Upload foto’s van dak, gevel, glas, installaties en kruipruimte</w:t>
      </w:r>
    </w:p>
    <w:p w14:paraId="6D6ED4BC" w14:textId="77777777" w:rsidR="0072010A" w:rsidRPr="00721FA8" w:rsidRDefault="00B346C3">
      <w:pPr>
        <w:pStyle w:val="Lijstalinea"/>
        <w:numPr>
          <w:ilvl w:val="0"/>
          <w:numId w:val="2"/>
        </w:numPr>
        <w:spacing w:before="60" w:after="60"/>
        <w:rPr>
          <w:color w:val="FF0000"/>
        </w:rPr>
      </w:pPr>
      <w:r w:rsidRPr="00721FA8">
        <w:rPr>
          <w:color w:val="FF0000"/>
        </w:rPr>
        <w:t>Bevestig woningtype en eventuele renovatiejaren</w:t>
      </w:r>
    </w:p>
    <w:p w14:paraId="6D6ED4BD" w14:textId="77777777" w:rsidR="0072010A" w:rsidRPr="00721FA8" w:rsidRDefault="00B346C3">
      <w:pPr>
        <w:pStyle w:val="Lijstalinea"/>
        <w:numPr>
          <w:ilvl w:val="0"/>
          <w:numId w:val="2"/>
        </w:numPr>
        <w:spacing w:before="60" w:after="60"/>
        <w:rPr>
          <w:color w:val="FF0000"/>
        </w:rPr>
      </w:pPr>
      <w:r w:rsidRPr="00721FA8">
        <w:rPr>
          <w:color w:val="FF0000"/>
        </w:rPr>
        <w:t>Gebruik dit rapport als basis voor offerte- of adviesgesprekken</w:t>
      </w:r>
    </w:p>
    <w:p w14:paraId="6D6ED4BE" w14:textId="77777777" w:rsidR="0072010A" w:rsidRDefault="0072010A">
      <w:pPr>
        <w:spacing w:before="320" w:after="80"/>
      </w:pPr>
    </w:p>
    <w:p>
      <w:pPr>
        <w:spacing w:before="0" w:after="0"/>
      </w:pPr>
      <w:r>
        <w:br w:type="page"/>
      </w:r>
    </w:p>
    <w:tbl>
      <w:tblPr>
        <w:tblW w:w="5000" w:type="pct"/>
        <w:tblBorders>
          <w:top w:val="none"/>
          <w:left w:val="none"/>
          <w:bottom w:val="none"/>
          <w:right w:val="none"/>
          <w:insideH w:val="none"/>
          <w:insideV w:val="none"/>
        </w:tblBorders>
      </w:tblPr>
      <w:tblGrid>
        <w:gridCol w:w="9026"/>
      </w:tblGrid>
      <w:tr>
        <w:trPr>
          <w:trHeight w:val="1100" w:hRule="atLeast"/>
        </w:trPr>
        <w:tc>
          <w:tcPr>
            <w:tcW w:w="5000" w:type="pct"/>
            <w:shd w:val="clear" w:color="auto" w:fill="1A1A1A"/>
            <w:tcMar>
              <w:top w:w="220" w:type="dxa"/>
              <w:left w:w="320" w:type="dxa"/>
              <w:bottom w:w="220" w:type="dxa"/>
              <w:right w:w="320" w:type="dxa"/>
            </w:tcMar>
          </w:tcPr>
          <w:p>
            <w:pPr>
              <w:spacing w:before="0" w:after="60"/>
              <w:shd w:val="clear" w:color="auto" w:fill="1A1A1A"/>
            </w:pPr>
            <w:r>
              <w:rPr>
                <w:b/>
                <w:rFonts w:ascii="Calibri" w:hAnsi="Calibri" w:cs="Calibri"/>
                <w:sz w:val="44"/>
                <w:szCs w:val="44"/>
                <w:color w:val="FFFFFF"/>
              </w:rPr>
              <w:t xml:space="preserve">Pand</w:t>
            </w:r>
            <w:r>
              <w:rPr>
                <w:b/>
                <w:rFonts w:ascii="Calibri" w:hAnsi="Calibri" w:cs="Calibri"/>
                <w:sz w:val="44"/>
                <w:szCs w:val="44"/>
                <w:color w:val="5AAA00"/>
              </w:rPr>
              <w:t xml:space="preserve">IQ</w:t>
            </w:r>
          </w:p>
          <w:p>
            <w:pPr>
              <w:spacing w:before="0" w:after="0"/>
              <w:shd w:val="clear" w:color="auto" w:fill="1A1A1A"/>
            </w:pPr>
            <w:r>
              <w:rPr>
                <w:b/>
                <w:rFonts w:ascii="Calibri" w:hAnsi="Calibri" w:cs="Calibri"/>
                <w:sz w:val="16"/>
                <w:szCs w:val="16"/>
                <w:color w:val="5AAA00"/>
              </w:rPr>
              <w:t xml:space="preserve">WONEN</w:t>
            </w:r>
          </w:p>
        </w:tc>
      </w:tr>
    </w:tbl>
    <w:tbl>
      <w:tblPr>
        <w:tblW w:w="5000" w:type="pct"/>
        <w:tblBorders>
          <w:top w:val="none"/>
          <w:left w:val="none"/>
          <w:bottom w:val="none"/>
          <w:right w:val="none"/>
          <w:insideH w:val="none"/>
          <w:insideV w:val="none"/>
        </w:tblBorders>
      </w:tblPr>
      <w:tblGrid>
        <w:gridCol w:w="9026"/>
      </w:tblGrid>
      <w:tr>
        <w:trPr>
          <w:trHeight w:val="80" w:hRule="atLeast"/>
        </w:trPr>
        <w:tc>
          <w:tcPr>
            <w:tcW w:w="5000" w:type="pct"/>
            <w:shd w:val="clear" w:color="auto" w:fill="D4E832"/>
            <w:tcMar>
              <w:top w:w="220" w:type="dxa"/>
              <w:left w:w="320" w:type="dxa"/>
              <w:bottom w:w="220" w:type="dxa"/>
              <w:right w:w="320" w:type="dxa"/>
            </w:tcMar>
          </w:tcPr>
          <w:p>
            <w:pPr>
              <w:spacing w:before="0" w:after="160"/>
              <w:shd w:val="clear" w:color="auto" w:fill="D4E832"/>
            </w:pPr>
          </w:p>
        </w:tc>
      </w:tr>
    </w:tbl>
    <w:p>
      <w:pPr>
        <w:spacing w:before="400" w:after="0"/>
      </w:pPr>
    </w:p>
    <w:p>
      <w:pPr>
        <w:spacing w:before="0" w:after="100"/>
      </w:pPr>
      <w:r>
        <w:rPr>
          <w:b/>
          <w:rFonts w:ascii="Calibri" w:hAnsi="Calibri" w:cs="Calibri"/>
          <w:sz w:val="44"/>
          <w:szCs w:val="44"/>
          <w:color w:val="1A1A1A"/>
        </w:rPr>
        <w:t xml:space="preserve">Uw regisseur in verduurzaming</w:t>
      </w:r>
    </w:p>
    <w:p>
      <w:pPr>
        <w:spacing w:before="0" w:after="200"/>
      </w:pPr>
      <w:r>
        <w:rPr>
          <w:rFonts w:ascii="Calibri" w:hAnsi="Calibri" w:cs="Calibri"/>
          <w:sz w:val="22"/>
          <w:szCs w:val="22"/>
          <w:color w:val="333333"/>
        </w:rPr>
        <w:t xml:space="preserve">Met de juiste keuzes haalt u meer uit uw woning en uw budget. Door maatregelen slim te combineren kan uw subsidie zelfs verdubbelen.</w:t>
      </w:r>
    </w:p>
    <w:tbl>
      <w:tblPr>
        <w:tblW w:w="5000" w:type="pct"/>
        <w:tblBorders>
          <w:top w:val="none"/>
          <w:left w:val="none"/>
          <w:bottom w:val="none"/>
          <w:right w:val="none"/>
          <w:insideH w:val="none"/>
          <w:insideV w:val="none"/>
        </w:tblBorders>
      </w:tblPr>
      <w:tblGrid>
        <w:gridCol w:w="9026"/>
      </w:tblGrid>
      <w:tr>
        <w:trPr>
          <w:trHeight w:val="400" w:hRule="atLeast"/>
        </w:trPr>
        <w:tc>
          <w:tcPr>
            <w:tcW w:w="5000" w:type="pct"/>
            <w:shd w:val="clear" w:color="auto" w:fill="EEF6E0"/>
            <w:tcMar>
              <w:top w:w="220" w:type="dxa"/>
              <w:left w:w="320" w:type="dxa"/>
              <w:bottom w:w="220" w:type="dxa"/>
              <w:right w:w="320" w:type="dxa"/>
            </w:tcMar>
          </w:tcPr>
          <w:p>
            <w:pPr>
              <w:spacing w:before="0" w:after="0"/>
              <w:shd w:val="clear" w:color="auto" w:fill="EEF6E0"/>
            </w:pPr>
            <w:r>
              <w:rPr>
                <w:rFonts w:ascii="Calibri" w:hAnsi="Calibri" w:cs="Calibri"/>
                <w:sz w:val="22"/>
                <w:szCs w:val="22"/>
                <w:color w:val="1A4A00"/>
              </w:rPr>
              <w:t xml:space="preserve">PandIQ geeft u overzicht en helpt u met het inschatten van bouwkosten, het aanvragen van offertes, subsidieaanvragen en andere besparingen — alles in één dashboard.</w:t>
            </w:r>
          </w:p>
        </w:tc>
      </w:tr>
    </w:tbl>
    <w:p>
      <w:pPr>
        <w:spacing w:before="200" w:after="0"/>
      </w:pPr>
    </w:p>
    <w:p>
      <w:pPr>
        <w:spacing w:before="0" w:after="160"/>
      </w:pPr>
      <w:r>
        <w:rPr>
          <w:rFonts w:ascii="Calibri" w:hAnsi="Calibri" w:cs="Calibri"/>
          <w:sz w:val="22"/>
          <w:szCs w:val="22"/>
          <w:color w:val="333333"/>
        </w:rPr>
        <w:t xml:space="preserve">Maak een account aan en ontdek wat er mogelijk is. Het kost weinig moeite en levert vaak direct voordeel op.</w:t>
      </w:r>
    </w:p>
    <w:p>
      <w:pPr>
        <w:spacing w:before="80" w:after="280"/>
      </w:pPr>
      <w:r>
        <w:rPr>
          <w:b/>
          <w:rFonts w:ascii="Calibri" w:hAnsi="Calibri" w:cs="Calibri"/>
          <w:sz w:val="26"/>
          <w:szCs w:val="26"/>
          <w:color w:val="5AAA00"/>
        </w:rPr>
        <w:t xml:space="preserve">Word geen slapende betaler, maar wees slim en bespaar.</w:t>
      </w:r>
    </w:p>
    <w:tbl>
      <w:tblPr>
        <w:tblW w:w="5000" w:type="pct"/>
        <w:tblBorders>
          <w:top w:val="none"/>
          <w:left w:val="none"/>
          <w:bottom w:val="none"/>
          <w:right w:val="none"/>
          <w:insideH w:val="none"/>
          <w:insideV w:val="none"/>
        </w:tblBorders>
      </w:tblPr>
      <w:tblGrid>
        <w:gridCol w:w="9026"/>
      </w:tblGrid>
      <w:tr>
        <w:trPr>
          <w:trHeight w:val="480" w:hRule="atLeast"/>
        </w:trPr>
        <w:tc>
          <w:tcPr>
            <w:tcW w:w="5000" w:type="pct"/>
            <w:shd w:val="clear" w:color="auto" w:fill="D4E832"/>
            <w:tcMar>
              <w:top w:w="180" w:type="dxa"/>
              <w:left w:w="320" w:type="dxa"/>
              <w:bottom w:w="180" w:type="dxa"/>
              <w:right w:w="320" w:type="dxa"/>
            </w:tcMar>
          </w:tcPr>
          <w:p>
            <w:pPr>
              <w:spacing w:before="0" w:after="0"/>
              <w:shd w:val="clear" w:color="auto" w:fill="D4E832"/>
            </w:pPr>
            <w:r>
              <w:rPr>
                <w:b/>
                <w:rFonts w:ascii="Calibri" w:hAnsi="Calibri" w:cs="Calibri"/>
                <w:sz w:val="22"/>
                <w:szCs w:val="22"/>
                <w:color w:val="1A1A1A"/>
              </w:rPr>
              <w:t xml:space="preserve">Vraag nu een vrijblijvende offerte aan — inclusief subsidiecheck en aanvraagafhandeling</w:t>
            </w:r>
            <w:r>
              <w:rPr>
                <w:b/>
                <w:rFonts w:ascii="Calibri" w:hAnsi="Calibri" w:cs="Calibri"/>
                <w:sz w:val="24"/>
                <w:szCs w:val="24"/>
                <w:color w:val="1A1A1A"/>
              </w:rPr>
              <w:t xml:space="preserve">  →</w:t>
            </w:r>
          </w:p>
          <w:p>
            <w:pPr>
              <w:spacing w:before="0" w:after="0"/>
              <w:shd w:val="clear" w:color="auto" w:fill="D4E832"/>
            </w:pPr>
            <w:r>
              <w:rPr>
                <w:rFonts w:ascii="Calibri" w:hAnsi="Calibri" w:cs="Calibri"/>
                <w:sz w:val="18"/>
                <w:szCs w:val="18"/>
                <w:color w:val="333333"/>
              </w:rPr>
              <w:t xml:space="preserve">https://www.pandiq.nl/offerte</w:t>
            </w:r>
          </w:p>
        </w:tc>
      </w:tr>
    </w:tbl>
    <w:p>
      <w:pPr>
        <w:spacing w:before="480" w:after="0"/>
      </w:pPr>
    </w:p>
    <w:p>
      <w:pPr>
        <w:spacing w:before="0" w:after="0"/>
      </w:pPr>
      <w:r>
        <w:rPr>
          <w:i/>
          <w:rFonts w:ascii="Calibri" w:hAnsi="Calibri" w:cs="Calibri"/>
          <w:sz w:val="18"/>
          <w:szCs w:val="18"/>
          <w:color w:val="999999"/>
        </w:rPr>
        <w:t xml:space="preserve">Disclaimer: dit rapport is indicatief en gebaseerd op registraties en aannames. Aan dit document kunnen geen rechten worden ontleend. Uitvoering vereist altijd verificatie op locatie en controle van actuele regelgeving.</w:t>
      </w:r>
    </w:p>
    <w:sectPr w:rsidR="0072010A">
      <w:headerReference w:type="default" r:id="rId10"/>
      <w:footerReference w:type="default" r:id="rId11"/>
      <w:headerReference w:type="first" r:id="rId14"/>
      <w:pgSz w:w="11906" w:h="16838"/>
      <w:pgMar w:top="1134" w:right="1134"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A4AA5" w14:textId="77777777" w:rsidR="00365966" w:rsidRDefault="00365966">
      <w:r>
        <w:separator/>
      </w:r>
    </w:p>
  </w:endnote>
  <w:endnote w:type="continuationSeparator" w:id="0">
    <w:p w14:paraId="769193EB" w14:textId="77777777" w:rsidR="00365966" w:rsidRDefault="003659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ED4C4" w14:textId="77777777" w:rsidR="0072010A" w:rsidRDefault="00B346C3">
    <w:pPr>
      <w:pBdr>
        <w:top w:val="single" w:sz="2" w:space="4" w:color="D0D8EC"/>
      </w:pBdr>
      <w:tabs>
        <w:tab w:val="right" w:pos="9026"/>
      </w:tabs>
      <w:spacing w:before="80"/>
    </w:pPr>
    <w:r>
      <w:rPr>
        <w:color w:val="5A6A85"/>
        <w:sz w:val="16"/>
        <w:szCs w:val="16"/>
      </w:rPr>
      <w:t xml:space="preserve">Indicatief rapport · </w:t>
    </w:r>
    <w:proofErr w:type="spellStart"/>
    <w:r>
      <w:rPr>
        <w:color w:val="5A6A85"/>
        <w:sz w:val="16"/>
        <w:szCs w:val="16"/>
      </w:rPr>
      <w:t>PandIQ</w:t>
    </w:r>
    <w:proofErr w:type="spellEnd"/>
    <w:r>
      <w:rPr>
        <w:color w:val="5A6A85"/>
        <w:sz w:val="16"/>
        <w:szCs w:val="16"/>
      </w:rPr>
      <w:t xml:space="preserve"> · www.pandiq.nl</w:t>
    </w:r>
    <w:r>
      <w:rPr>
        <w:color w:val="5A6A85"/>
        <w:sz w:val="16"/>
        <w:szCs w:val="16"/>
      </w:rPr>
      <w:tab/>
      <w:t xml:space="preserve">Pagina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2396C" w14:textId="77777777" w:rsidR="00365966" w:rsidRDefault="00365966">
      <w:r>
        <w:separator/>
      </w:r>
    </w:p>
  </w:footnote>
  <w:footnote w:type="continuationSeparator" w:id="0">
    <w:p w14:paraId="1533F94D" w14:textId="77777777" w:rsidR="00365966" w:rsidRDefault="003659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6" w:type="dxa"/>
      <w:tblBorders>
        <w:top w:val="none" w:sz="0" w:space="0" w:color="FFFFFF"/>
        <w:left w:val="none" w:sz="0" w:space="0" w:color="FFFFFF"/>
        <w:right w:val="none" w:sz="0" w:space="0" w:color="FFFFFF"/>
        <w:insideH w:val="none" w:sz="0" w:space="0" w:color="FFFFFF"/>
        <w:insideV w:val="none" w:sz="0" w:space="0" w:color="FFFFFF"/>
        <w:bottom w:val="single" w:sz="6" w:space="0" w:color="D4E832"/>
      </w:tblBorders>
      <w:tblCellMar>
        <w:left w:w="10" w:type="dxa"/>
        <w:right w:w="10" w:type="dxa"/>
      </w:tblCellMar>
    </w:tblPr>
    <w:tblGrid>
      <w:gridCol w:w="4513"/>
      <w:gridCol w:w="4513"/>
    </w:tblGrid>
    <w:tr>
      <w:tc>
        <w:tcPr>
          <w:tcW w:w="4513" w:type="dxa"/>
          <w:tcBorders>
            <w:top w:val="none" w:sz="0" w:space="0" w:color="FFFFFF"/>
            <w:left w:val="none" w:sz="0" w:space="0" w:color="FFFFFF"/>
            <w:bottom w:val="none" w:sz="0" w:space="0" w:color="FFFFFF"/>
            <w:right w:val="none" w:sz="0" w:space="0" w:color="FFFFFF"/>
          </w:tcBorders>
          <w:vAlign w:val="center"/>
        </w:tcPr>
        <w:p>
          <w:pPr>
            <w:spacing w:before="0" w:after="0"/>
          </w:pPr>
          <w:r>
            <w:rPr>
              <w:b/>
              <w:rFonts w:ascii="Calibri" w:hAnsi="Calibri" w:cs="Calibri"/>
              <w:sz w:val="28"/>
              <w:szCs w:val="28"/>
              <w:color w:val="1A1A1A"/>
            </w:rPr>
            <w:t xml:space="preserve">Pand</w:t>
          </w:r>
          <w:r>
            <w:rPr>
              <w:b/>
              <w:rFonts w:ascii="Calibri" w:hAnsi="Calibri" w:cs="Calibri"/>
              <w:sz w:val="28"/>
              <w:szCs w:val="28"/>
              <w:color w:val="5AAA00"/>
            </w:rPr>
            <w:t xml:space="preserve">IQ</w:t>
          </w:r>
          <w:r>
            <w:rPr>
              <w:rFonts w:ascii="Calibri" w:hAnsi="Calibri" w:cs="Calibri"/>
              <w:sz w:val="18"/>
              <w:szCs w:val="18"/>
              <w:color w:val="5AAA00"/>
            </w:rPr>
            <w:t xml:space="preserve"> Wonen</w:t>
          </w:r>
        </w:p>
      </w:tc>
      <w:tc>
        <w:tcPr>
          <w:tcW w:w="4513" w:type="dxa"/>
          <w:tcBorders>
            <w:top w:val="none" w:sz="0" w:space="0" w:color="FFFFFF"/>
            <w:left w:val="none" w:sz="0" w:space="0" w:color="FFFFFF"/>
            <w:bottom w:val="none" w:sz="0" w:space="0" w:color="FFFFFF"/>
            <w:right w:val="none" w:sz="0" w:space="0" w:color="FFFFFF"/>
          </w:tcBorders>
          <w:vAlign w:val="center"/>
        </w:tcPr>
        <w:p>
          <w:pPr>
            <w:spacing w:before="0" w:after="0"/>
            <w:jc w:val="right"/>
          </w:pPr>
          <w:r>
            <w:rPr>
              <w:rFonts w:ascii="Calibri" w:hAnsi="Calibri" w:cs="Calibri"/>
              <w:sz w:val="18"/>
              <w:szCs w:val="18"/>
              <w:color w:val="666666"/>
            </w:rPr>
            <w:t xml:space="preserve">Isolatie Quickscan</w:t>
          </w:r>
        </w:p>
      </w:tc>
    </w:tr>
  </w:tbl>
  <w:p>
    <w:pPr>
      <w:spacing w:before="60" w:after="60"/>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53C5B"/>
    <w:multiLevelType w:val="hybridMultilevel"/>
    <w:tmpl w:val="756C1ED6"/>
    <w:lvl w:ilvl="0" w:tplc="61D82B52">
      <w:start w:val="1"/>
      <w:numFmt w:val="bullet"/>
      <w:lvlText w:val="–"/>
      <w:lvlJc w:val="left"/>
      <w:pPr>
        <w:ind w:left="480" w:hanging="240"/>
      </w:pPr>
    </w:lvl>
    <w:lvl w:ilvl="1" w:tplc="4E6049EA">
      <w:numFmt w:val="decimal"/>
      <w:lvlText w:val=""/>
      <w:lvlJc w:val="left"/>
    </w:lvl>
    <w:lvl w:ilvl="2" w:tplc="165662B8">
      <w:numFmt w:val="decimal"/>
      <w:lvlText w:val=""/>
      <w:lvlJc w:val="left"/>
    </w:lvl>
    <w:lvl w:ilvl="3" w:tplc="AE90443A">
      <w:numFmt w:val="decimal"/>
      <w:lvlText w:val=""/>
      <w:lvlJc w:val="left"/>
    </w:lvl>
    <w:lvl w:ilvl="4" w:tplc="CF3CAE08">
      <w:numFmt w:val="decimal"/>
      <w:lvlText w:val=""/>
      <w:lvlJc w:val="left"/>
    </w:lvl>
    <w:lvl w:ilvl="5" w:tplc="FD5AF62C">
      <w:numFmt w:val="decimal"/>
      <w:lvlText w:val=""/>
      <w:lvlJc w:val="left"/>
    </w:lvl>
    <w:lvl w:ilvl="6" w:tplc="9C1C8006">
      <w:numFmt w:val="decimal"/>
      <w:lvlText w:val=""/>
      <w:lvlJc w:val="left"/>
    </w:lvl>
    <w:lvl w:ilvl="7" w:tplc="CD8E6FAA">
      <w:numFmt w:val="decimal"/>
      <w:lvlText w:val=""/>
      <w:lvlJc w:val="left"/>
    </w:lvl>
    <w:lvl w:ilvl="8" w:tplc="35CA16FC">
      <w:numFmt w:val="decimal"/>
      <w:lvlText w:val=""/>
      <w:lvlJc w:val="left"/>
    </w:lvl>
  </w:abstractNum>
  <w:abstractNum w:abstractNumId="1" w15:restartNumberingAfterBreak="0">
    <w:nsid w:val="0A1E623C"/>
    <w:multiLevelType w:val="hybridMultilevel"/>
    <w:tmpl w:val="A930054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4FD55F3A"/>
    <w:multiLevelType w:val="hybridMultilevel"/>
    <w:tmpl w:val="1C36CA24"/>
    <w:lvl w:ilvl="0" w:tplc="6EBA780C">
      <w:start w:val="1"/>
      <w:numFmt w:val="bullet"/>
      <w:lvlText w:val="●"/>
      <w:lvlJc w:val="left"/>
      <w:pPr>
        <w:ind w:left="720" w:hanging="360"/>
      </w:pPr>
    </w:lvl>
    <w:lvl w:ilvl="1" w:tplc="E21AA82C">
      <w:start w:val="1"/>
      <w:numFmt w:val="bullet"/>
      <w:lvlText w:val="○"/>
      <w:lvlJc w:val="left"/>
      <w:pPr>
        <w:ind w:left="1440" w:hanging="360"/>
      </w:pPr>
    </w:lvl>
    <w:lvl w:ilvl="2" w:tplc="12188F48">
      <w:start w:val="1"/>
      <w:numFmt w:val="bullet"/>
      <w:lvlText w:val="■"/>
      <w:lvlJc w:val="left"/>
      <w:pPr>
        <w:ind w:left="2160" w:hanging="360"/>
      </w:pPr>
    </w:lvl>
    <w:lvl w:ilvl="3" w:tplc="2E26D76A">
      <w:start w:val="1"/>
      <w:numFmt w:val="bullet"/>
      <w:lvlText w:val="●"/>
      <w:lvlJc w:val="left"/>
      <w:pPr>
        <w:ind w:left="2880" w:hanging="360"/>
      </w:pPr>
    </w:lvl>
    <w:lvl w:ilvl="4" w:tplc="94C27FB8">
      <w:start w:val="1"/>
      <w:numFmt w:val="bullet"/>
      <w:lvlText w:val="○"/>
      <w:lvlJc w:val="left"/>
      <w:pPr>
        <w:ind w:left="3600" w:hanging="360"/>
      </w:pPr>
    </w:lvl>
    <w:lvl w:ilvl="5" w:tplc="13EE00AC">
      <w:start w:val="1"/>
      <w:numFmt w:val="bullet"/>
      <w:lvlText w:val="■"/>
      <w:lvlJc w:val="left"/>
      <w:pPr>
        <w:ind w:left="4320" w:hanging="360"/>
      </w:pPr>
    </w:lvl>
    <w:lvl w:ilvl="6" w:tplc="011E5D92">
      <w:start w:val="1"/>
      <w:numFmt w:val="bullet"/>
      <w:lvlText w:val="●"/>
      <w:lvlJc w:val="left"/>
      <w:pPr>
        <w:ind w:left="5040" w:hanging="360"/>
      </w:pPr>
    </w:lvl>
    <w:lvl w:ilvl="7" w:tplc="29D4167C">
      <w:start w:val="1"/>
      <w:numFmt w:val="bullet"/>
      <w:lvlText w:val="●"/>
      <w:lvlJc w:val="left"/>
      <w:pPr>
        <w:ind w:left="5760" w:hanging="360"/>
      </w:pPr>
    </w:lvl>
    <w:lvl w:ilvl="8" w:tplc="D72C3D28">
      <w:start w:val="1"/>
      <w:numFmt w:val="bullet"/>
      <w:lvlText w:val="●"/>
      <w:lvlJc w:val="left"/>
      <w:pPr>
        <w:ind w:left="6480" w:hanging="360"/>
      </w:pPr>
    </w:lvl>
  </w:abstractNum>
  <w:abstractNum w:abstractNumId="3" w15:restartNumberingAfterBreak="0">
    <w:nsid w:val="72964827"/>
    <w:multiLevelType w:val="multilevel"/>
    <w:tmpl w:val="75189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7582796">
    <w:abstractNumId w:val="2"/>
    <w:lvlOverride w:ilvl="0">
      <w:startOverride w:val="1"/>
    </w:lvlOverride>
  </w:num>
  <w:num w:numId="2" w16cid:durableId="1070352447">
    <w:abstractNumId w:val="0"/>
    <w:lvlOverride w:ilvl="0">
      <w:startOverride w:val="1"/>
    </w:lvlOverride>
  </w:num>
  <w:num w:numId="3" w16cid:durableId="2021732530">
    <w:abstractNumId w:val="3"/>
  </w:num>
  <w:num w:numId="4" w16cid:durableId="19744089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10A"/>
    <w:rsid w:val="00014EA1"/>
    <w:rsid w:val="00040E3A"/>
    <w:rsid w:val="0005783D"/>
    <w:rsid w:val="00067D34"/>
    <w:rsid w:val="000D2ADD"/>
    <w:rsid w:val="000D3833"/>
    <w:rsid w:val="000F0C75"/>
    <w:rsid w:val="00191ED5"/>
    <w:rsid w:val="001A4658"/>
    <w:rsid w:val="001A4933"/>
    <w:rsid w:val="001B3D68"/>
    <w:rsid w:val="001C4D44"/>
    <w:rsid w:val="001D0978"/>
    <w:rsid w:val="00200AE4"/>
    <w:rsid w:val="00203A55"/>
    <w:rsid w:val="002821A9"/>
    <w:rsid w:val="00332452"/>
    <w:rsid w:val="003358E5"/>
    <w:rsid w:val="0034353F"/>
    <w:rsid w:val="00365966"/>
    <w:rsid w:val="00366BF9"/>
    <w:rsid w:val="003813AC"/>
    <w:rsid w:val="003B162E"/>
    <w:rsid w:val="00417946"/>
    <w:rsid w:val="0042585B"/>
    <w:rsid w:val="0042600F"/>
    <w:rsid w:val="00426C20"/>
    <w:rsid w:val="00440953"/>
    <w:rsid w:val="00482D26"/>
    <w:rsid w:val="004D256F"/>
    <w:rsid w:val="004F5903"/>
    <w:rsid w:val="004F7575"/>
    <w:rsid w:val="005067D6"/>
    <w:rsid w:val="00574344"/>
    <w:rsid w:val="00576084"/>
    <w:rsid w:val="00590594"/>
    <w:rsid w:val="00596724"/>
    <w:rsid w:val="005A7760"/>
    <w:rsid w:val="005C625F"/>
    <w:rsid w:val="00610147"/>
    <w:rsid w:val="00624423"/>
    <w:rsid w:val="00632F02"/>
    <w:rsid w:val="0064326E"/>
    <w:rsid w:val="0068671D"/>
    <w:rsid w:val="006A7AD0"/>
    <w:rsid w:val="00716768"/>
    <w:rsid w:val="0072010A"/>
    <w:rsid w:val="00721FA8"/>
    <w:rsid w:val="007A64CB"/>
    <w:rsid w:val="007F1396"/>
    <w:rsid w:val="00813BD8"/>
    <w:rsid w:val="008152A4"/>
    <w:rsid w:val="00822510"/>
    <w:rsid w:val="00856B11"/>
    <w:rsid w:val="00861B3C"/>
    <w:rsid w:val="00864176"/>
    <w:rsid w:val="008855DA"/>
    <w:rsid w:val="0091286E"/>
    <w:rsid w:val="00930DE9"/>
    <w:rsid w:val="009315C7"/>
    <w:rsid w:val="00A15BCA"/>
    <w:rsid w:val="00A26820"/>
    <w:rsid w:val="00AA34BD"/>
    <w:rsid w:val="00AB7D30"/>
    <w:rsid w:val="00AF5A6E"/>
    <w:rsid w:val="00B17FA0"/>
    <w:rsid w:val="00B26CD3"/>
    <w:rsid w:val="00B346C3"/>
    <w:rsid w:val="00B50E04"/>
    <w:rsid w:val="00B67B2B"/>
    <w:rsid w:val="00BA589C"/>
    <w:rsid w:val="00C94E1F"/>
    <w:rsid w:val="00CE7620"/>
    <w:rsid w:val="00D31BA8"/>
    <w:rsid w:val="00D34072"/>
    <w:rsid w:val="00D426C3"/>
    <w:rsid w:val="00DA7596"/>
    <w:rsid w:val="00DC422D"/>
    <w:rsid w:val="00DD12FD"/>
    <w:rsid w:val="00DE10E6"/>
    <w:rsid w:val="00DE3465"/>
    <w:rsid w:val="00E2056A"/>
    <w:rsid w:val="00E21A44"/>
    <w:rsid w:val="00E33736"/>
    <w:rsid w:val="00E71661"/>
    <w:rsid w:val="00E944A5"/>
    <w:rsid w:val="00EA4F32"/>
    <w:rsid w:val="00FA7628"/>
    <w:rsid w:val="00FC6514"/>
    <w:rsid w:val="00FC792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6ED45E"/>
  <w15:docId w15:val="{4A27CECB-FC2C-4DAF-901A-01D02418B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link w:val="Kop1Char"/>
    <w:uiPriority w:val="9"/>
    <w:qFormat/>
    <w:pPr>
      <w:spacing w:before="280" w:after="140"/>
      <w:outlineLvl w:val="0"/>
    </w:pPr>
    <w:rPr>
      <w:b/>
      <w:bCs/>
      <w:color w:val="0B1F3A"/>
      <w:sz w:val="28"/>
      <w:szCs w:val="28"/>
    </w:rPr>
  </w:style>
  <w:style w:type="paragraph" w:styleId="Kop2">
    <w:name w:val="heading 2"/>
    <w:uiPriority w:val="9"/>
    <w:semiHidden/>
    <w:unhideWhenUsed/>
    <w:qFormat/>
    <w:pPr>
      <w:spacing w:before="160" w:after="80"/>
      <w:outlineLvl w:val="1"/>
    </w:pPr>
    <w:rPr>
      <w:b/>
      <w:bCs/>
      <w:color w:val="2E6BE6"/>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paragraph" w:styleId="Koptekst">
    <w:name w:val="header"/>
    <w:basedOn w:val="Standaard"/>
    <w:link w:val="KoptekstChar"/>
    <w:uiPriority w:val="99"/>
    <w:unhideWhenUsed/>
    <w:rsid w:val="00D34072"/>
    <w:pPr>
      <w:tabs>
        <w:tab w:val="center" w:pos="4536"/>
        <w:tab w:val="right" w:pos="9072"/>
      </w:tabs>
    </w:pPr>
  </w:style>
  <w:style w:type="character" w:customStyle="1" w:styleId="KoptekstChar">
    <w:name w:val="Koptekst Char"/>
    <w:basedOn w:val="Standaardalinea-lettertype"/>
    <w:link w:val="Koptekst"/>
    <w:uiPriority w:val="99"/>
    <w:rsid w:val="00D34072"/>
  </w:style>
  <w:style w:type="paragraph" w:styleId="Voettekst">
    <w:name w:val="footer"/>
    <w:basedOn w:val="Standaard"/>
    <w:link w:val="VoettekstChar"/>
    <w:uiPriority w:val="99"/>
    <w:unhideWhenUsed/>
    <w:rsid w:val="00D34072"/>
    <w:pPr>
      <w:tabs>
        <w:tab w:val="center" w:pos="4536"/>
        <w:tab w:val="right" w:pos="9072"/>
      </w:tabs>
    </w:pPr>
  </w:style>
  <w:style w:type="character" w:customStyle="1" w:styleId="VoettekstChar">
    <w:name w:val="Voettekst Char"/>
    <w:basedOn w:val="Standaardalinea-lettertype"/>
    <w:link w:val="Voettekst"/>
    <w:uiPriority w:val="99"/>
    <w:rsid w:val="00D34072"/>
  </w:style>
  <w:style w:type="character" w:customStyle="1" w:styleId="Kop1Char">
    <w:name w:val="Kop 1 Char"/>
    <w:basedOn w:val="Standaardalinea-lettertype"/>
    <w:link w:val="Kop1"/>
    <w:uiPriority w:val="9"/>
    <w:rsid w:val="00B346C3"/>
    <w:rPr>
      <w:b/>
      <w:bCs/>
      <w:color w:val="0B1F3A"/>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2.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7</Pages>
  <Words>592</Words>
  <Characters>3259</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Marc Staal</cp:lastModifiedBy>
  <cp:revision>68</cp:revision>
  <dcterms:created xsi:type="dcterms:W3CDTF">2026-03-19T12:48:00Z</dcterms:created>
  <dcterms:modified xsi:type="dcterms:W3CDTF">2026-04-06T08:36:00Z</dcterms:modified>
</cp:coreProperties>
</file>