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pPr>
      <w:r>
        <w:rPr>
          <w:rFonts w:ascii="Georgia" w:cs="Georgia" w:eastAsia="Georgia" w:hAnsi="Georgia"/>
          <w:b/>
          <w:bCs/>
          <w:color w:val="0B1F3A"/>
          <w:sz w:val="72"/>
          <w:szCs w:val="72"/>
        </w:rPr>
        <w:t xml:space="preserve">Pand</w:t>
      </w:r>
      <w:r>
        <w:rPr>
          <w:rFonts w:ascii="Georgia" w:cs="Georgia" w:eastAsia="Georgia" w:hAnsi="Georgia"/>
          <w:b/>
          <w:bCs/>
          <w:color w:val="3DBDBD"/>
          <w:sz w:val="72"/>
          <w:szCs w:val="72"/>
        </w:rPr>
        <w:t xml:space="preserve">IQ</w:t>
      </w:r>
    </w:p>
    <w:p>
      <w:pPr>
        <w:spacing w:before="0" w:after="480"/>
      </w:pPr>
      <w:r>
        <w:rPr>
          <w:rFonts w:ascii="Calibri" w:cs="Calibri" w:eastAsia="Calibri" w:hAnsi="Calibri"/>
          <w:color w:val="5A6A85"/>
          <w:sz w:val="20"/>
          <w:szCs w:val="20"/>
        </w:rPr>
        <w:t xml:space="preserve">www.PandIQ.nl</w:t>
      </w:r>
    </w:p>
    <w:p>
      <w:pPr>
        <w:pBdr>
          <w:bottom w:val="single" w:color="2E6BE6" w:sz="12" w:space="1"/>
        </w:pBdr>
        <w:spacing w:before="0" w:after="480"/>
      </w:pPr>
    </w:p>
    <w:p>
      <w:pPr>
        <w:spacing w:before="480" w:after="120"/>
      </w:pPr>
      <w:r>
        <w:rPr>
          <w:rFonts w:ascii="Georgia" w:cs="Georgia" w:eastAsia="Georgia" w:hAnsi="Georgia"/>
          <w:b/>
          <w:bCs/>
          <w:color w:val="0B1F3A"/>
          <w:sz w:val="64"/>
          <w:szCs w:val="64"/>
        </w:rPr>
        <w:t xml:space="preserve">Advies verduurzaming</w:t>
      </w:r>
    </w:p>
    <w:p>
      <w:pPr>
        <w:spacing w:before="0" w:after="960"/>
      </w:pPr>
      <w:r>
        <w:rPr>
          <w:rFonts w:ascii="Calibri" w:cs="Calibri" w:eastAsia="Calibri" w:hAnsi="Calibri"/>
          <w:color w:val="5A6A85"/>
          <w:sz w:val="32"/>
          <w:szCs w:val="32"/>
        </w:rPr>
        <w:t xml:space="preserve">Isolatie Quickscan</w:t>
      </w:r>
    </w:p>
    <w:p>
      <w:pPr>
        <w:spacing w:before="0" w:after="120"/>
      </w:pPr>
      <w:r>
        <w:rPr>
          <w:rFonts w:ascii="Calibri" w:cs="Calibri" w:eastAsia="Calibri" w:hAnsi="Calibri"/>
          <w:b/>
          <w:bCs/>
          <w:color w:val="0B1F3A"/>
          <w:sz w:val="24"/>
          <w:szCs w:val="24"/>
        </w:rPr>
        <w:t xml:space="preserve">Adres:  Hoofdweg 119, 9628CM Siddeburen</w:t>
      </w:r>
      <w:r>
        <w:rPr>
          <w:rFonts w:ascii="Calibri" w:cs="Calibri" w:eastAsia="Calibri" w:hAnsi="Calibri"/>
          <w:color w:val="1A2340"/>
          <w:sz w:val="22"/>
          <w:szCs w:val="22"/>
        </w:rPr>
        <w:t xml:space="preserve"/>
      </w:r>
    </w:p>
    <w:p>
      <w:pPr>
        <w:spacing w:before="0" w:after="960"/>
      </w:pPr>
      <w:r>
        <w:rPr>
          <w:rFonts w:ascii="Calibri" w:cs="Calibri" w:eastAsia="Calibri" w:hAnsi="Calibri"/>
          <w:b/>
          <w:bCs/>
          <w:color w:val="0B1F3A"/>
          <w:sz w:val="24"/>
          <w:szCs w:val="24"/>
        </w:rPr>
        <w:t xml:space="preserve">Datum:  13 maart 2026</w:t>
      </w:r>
      <w:r>
        <w:rPr>
          <w:rFonts w:ascii="Calibri" w:cs="Calibri" w:eastAsia="Calibri" w:hAnsi="Calibri"/>
          <w:color w:val="1A2340"/>
          <w:sz w:val="22"/>
          <w:szCs w:val="22"/>
        </w:rPr>
        <w:t xml:space="preserve"/>
      </w:r>
    </w:p>
    <w:p>
      <w:pPr>
        <w:spacing w:before="0" w:after="0"/>
      </w:pPr>
      <w:r>
        <w:rPr>
          <w:rFonts w:ascii="Calibri" w:cs="Calibri" w:eastAsia="Calibri" w:hAnsi="Calibri"/>
          <w:i/>
          <w:iCs/>
          <w:color w:val="5A6A85"/>
          <w:sz w:val="18"/>
          <w:szCs w:val="18"/>
        </w:rPr>
        <w:t xml:space="preserve">Indicatief rapport op basis van openbare registraties (BAG &amp; EP-Online)</w:t>
      </w:r>
    </w:p>
    <w:p>
      <w:r>
        <w:br w:type="page"/>
      </w:r>
    </w:p>
    <w:p>
      <w:pPr>
        <w:pStyle w:val="Heading1"/>
        <w:pBdr>
          <w:bottom w:val="single" w:color="2E6BE6" w:sz="4" w:space="4"/>
        </w:pBdr>
        <w:spacing w:before="240" w:after="120"/>
      </w:pPr>
      <w:r>
        <w:rPr>
          <w:rFonts w:ascii="Calibri" w:cs="Calibri" w:eastAsia="Calibri" w:hAnsi="Calibri"/>
          <w:b/>
          <w:bCs/>
          <w:color w:val="0B1F3A"/>
          <w:sz w:val="28"/>
          <w:szCs w:val="28"/>
        </w:rPr>
        <w:t xml:space="preserve">1. Woninggegevens</w:t>
      </w:r>
    </w:p>
    <w:p>
      <w:pPr>
        <w:spacing w:before="60" w:after="60"/>
      </w:pPr>
      <w:r>
        <w:rPr>
          <w:rFonts w:ascii="Calibri" w:cs="Calibri" w:eastAsia="Calibri" w:hAnsi="Calibri"/>
          <w:b w:val="false"/>
          <w:bCs w:val="false"/>
          <w:i w:val="false"/>
          <w:iCs w:val="false"/>
          <w:color w:val="5A6A85"/>
          <w:sz w:val="22"/>
          <w:szCs w:val="22"/>
        </w:rPr>
        <w:t xml:space="preserve">Onderstaande gegevens zijn afkomstig uit de Basisregistratie Adressen en Gebouwen (BAG) en de landelijke energielabelregistratie EP-Online.</w:t>
      </w:r>
    </w:p>
    <w:p>
      <w:pPr>
        <w:spacing w:before="160" w:after="160"/>
      </w:pPr>
    </w:p>
    <w:tbl>
      <w:tblPr>
        <w:tblW w:type="dxa" w:w="9026"/>
        <w:tblBorders>
          <w:top w:val="single" w:color="D0D8EC" w:sz="1"/>
          <w:left w:val="single" w:color="D0D8EC" w:sz="1"/>
          <w:bottom w:val="single" w:color="D0D8EC" w:sz="1"/>
          <w:right w:val="single" w:color="D0D8EC" w:sz="1"/>
          <w:insideH w:val="single" w:color="auto" w:sz="4"/>
          <w:insideV w:val="single" w:color="auto" w:sz="4"/>
        </w:tblBorders>
      </w:tblPr>
      <w:tblGrid>
        <w:gridCol w:w="3600"/>
        <w:gridCol w:w="5426"/>
      </w:tblGrid>
      <w:tr>
        <w:tc>
          <w:tcPr>
            <w:tcW w:type="dxa" w:w="3600"/>
            <w:tcBorders>
              <w:top w:val="none" w:color="FFFFFF" w:sz="0"/>
              <w:left w:val="none" w:color="FFFFFF" w:sz="0"/>
              <w:bottom w:val="none" w:color="FFFFFF" w:sz="0"/>
              <w:right w:val="none" w:color="FFFFFF" w:sz="0"/>
            </w:tcBorders>
            <w:shd w:fill="F4F6FA" w:val="clear"/>
            <w:tcMar>
              <w:top w:type="dxa" w:w="80"/>
              <w:left w:type="dxa" w:w="120"/>
              <w:bottom w:type="dxa" w:w="80"/>
              <w:right w:type="dxa" w:w="120"/>
            </w:tcMar>
          </w:tcPr>
          <w:p>
            <w:r>
              <w:rPr>
                <w:rFonts w:ascii="Calibri" w:cs="Calibri" w:eastAsia="Calibri" w:hAnsi="Calibri"/>
                <w:b/>
                <w:bCs/>
                <w:color w:val="0B1F3A"/>
                <w:sz w:val="20"/>
                <w:szCs w:val="20"/>
              </w:rPr>
              <w:t xml:space="preserve">Adres</w:t>
            </w:r>
          </w:p>
        </w:tc>
        <w:tc>
          <w:tcPr>
            <w:tcW w:type="dxa" w:w="5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2"/>
                <w:szCs w:val="22"/>
              </w:rPr>
              <w:t xml:space="preserve">Hoofdweg 119, 9628CM Siddeburen</w:t>
            </w:r>
          </w:p>
        </w:tc>
      </w:tr>
      <w:tr>
        <w:tc>
          <w:tcPr>
            <w:tcW w:type="dxa" w:w="3600"/>
            <w:tcBorders>
              <w:top w:val="none" w:color="FFFFFF" w:sz="0"/>
              <w:left w:val="none" w:color="FFFFFF" w:sz="0"/>
              <w:bottom w:val="none" w:color="FFFFFF" w:sz="0"/>
              <w:right w:val="none" w:color="FFFFFF" w:sz="0"/>
            </w:tcBorders>
            <w:shd w:fill="F4F6FA" w:val="clear"/>
            <w:tcMar>
              <w:top w:type="dxa" w:w="80"/>
              <w:left w:type="dxa" w:w="120"/>
              <w:bottom w:type="dxa" w:w="80"/>
              <w:right w:type="dxa" w:w="120"/>
            </w:tcMar>
          </w:tcPr>
          <w:p>
            <w:r>
              <w:rPr>
                <w:rFonts w:ascii="Calibri" w:cs="Calibri" w:eastAsia="Calibri" w:hAnsi="Calibri"/>
                <w:b/>
                <w:bCs/>
                <w:color w:val="0B1F3A"/>
                <w:sz w:val="20"/>
                <w:szCs w:val="20"/>
              </w:rPr>
              <w:t xml:space="preserve">Datum rapport</w:t>
            </w:r>
          </w:p>
        </w:tc>
        <w:tc>
          <w:tcPr>
            <w:tcW w:type="dxa" w:w="5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2"/>
                <w:szCs w:val="22"/>
              </w:rPr>
              <w:t xml:space="preserve">13 maart 2026</w:t>
            </w:r>
          </w:p>
        </w:tc>
      </w:tr>
      <w:tr>
        <w:tc>
          <w:tcPr>
            <w:tcW w:type="dxa" w:w="3600"/>
            <w:tcBorders>
              <w:top w:val="none" w:color="FFFFFF" w:sz="0"/>
              <w:left w:val="none" w:color="FFFFFF" w:sz="0"/>
              <w:bottom w:val="none" w:color="FFFFFF" w:sz="0"/>
              <w:right w:val="none" w:color="FFFFFF" w:sz="0"/>
            </w:tcBorders>
            <w:shd w:fill="F4F6FA" w:val="clear"/>
            <w:tcMar>
              <w:top w:type="dxa" w:w="80"/>
              <w:left w:type="dxa" w:w="120"/>
              <w:bottom w:type="dxa" w:w="80"/>
              <w:right w:type="dxa" w:w="120"/>
            </w:tcMar>
          </w:tcPr>
          <w:p>
            <w:r>
              <w:rPr>
                <w:rFonts w:ascii="Calibri" w:cs="Calibri" w:eastAsia="Calibri" w:hAnsi="Calibri"/>
                <w:b/>
                <w:bCs/>
                <w:color w:val="0B1F3A"/>
                <w:sz w:val="20"/>
                <w:szCs w:val="20"/>
              </w:rPr>
              <w:t xml:space="preserve">Bouwjaar</w:t>
            </w:r>
          </w:p>
        </w:tc>
        <w:tc>
          <w:tcPr>
            <w:tcW w:type="dxa" w:w="5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2"/>
                <w:szCs w:val="22"/>
              </w:rPr>
              <w:t xml:space="preserve">1934</w:t>
            </w:r>
          </w:p>
        </w:tc>
      </w:tr>
      <w:tr>
        <w:tc>
          <w:tcPr>
            <w:tcW w:type="dxa" w:w="3600"/>
            <w:tcBorders>
              <w:top w:val="none" w:color="FFFFFF" w:sz="0"/>
              <w:left w:val="none" w:color="FFFFFF" w:sz="0"/>
              <w:bottom w:val="none" w:color="FFFFFF" w:sz="0"/>
              <w:right w:val="none" w:color="FFFFFF" w:sz="0"/>
            </w:tcBorders>
            <w:shd w:fill="F4F6FA" w:val="clear"/>
            <w:tcMar>
              <w:top w:type="dxa" w:w="80"/>
              <w:left w:type="dxa" w:w="120"/>
              <w:bottom w:type="dxa" w:w="80"/>
              <w:right w:type="dxa" w:w="120"/>
            </w:tcMar>
          </w:tcPr>
          <w:p>
            <w:r>
              <w:rPr>
                <w:rFonts w:ascii="Calibri" w:cs="Calibri" w:eastAsia="Calibri" w:hAnsi="Calibri"/>
                <w:b/>
                <w:bCs/>
                <w:color w:val="0B1F3A"/>
                <w:sz w:val="20"/>
                <w:szCs w:val="20"/>
              </w:rPr>
              <w:t xml:space="preserve">Bouwperiode</w:t>
            </w:r>
          </w:p>
        </w:tc>
        <w:tc>
          <w:tcPr>
            <w:tcW w:type="dxa" w:w="5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2"/>
                <w:szCs w:val="22"/>
              </w:rPr>
              <w:t xml:space="preserve">voor 1975</w:t>
            </w:r>
          </w:p>
        </w:tc>
      </w:tr>
      <w:tr>
        <w:tc>
          <w:tcPr>
            <w:tcW w:type="dxa" w:w="3600"/>
            <w:tcBorders>
              <w:top w:val="none" w:color="FFFFFF" w:sz="0"/>
              <w:left w:val="none" w:color="FFFFFF" w:sz="0"/>
              <w:bottom w:val="none" w:color="FFFFFF" w:sz="0"/>
              <w:right w:val="none" w:color="FFFFFF" w:sz="0"/>
            </w:tcBorders>
            <w:shd w:fill="F4F6FA" w:val="clear"/>
            <w:tcMar>
              <w:top w:type="dxa" w:w="80"/>
              <w:left w:type="dxa" w:w="120"/>
              <w:bottom w:type="dxa" w:w="80"/>
              <w:right w:type="dxa" w:w="120"/>
            </w:tcMar>
          </w:tcPr>
          <w:p>
            <w:r>
              <w:rPr>
                <w:rFonts w:ascii="Calibri" w:cs="Calibri" w:eastAsia="Calibri" w:hAnsi="Calibri"/>
                <w:b/>
                <w:bCs/>
                <w:color w:val="0B1F3A"/>
                <w:sz w:val="20"/>
                <w:szCs w:val="20"/>
              </w:rPr>
              <w:t xml:space="preserve">Gebruiksoppervlakte</w:t>
            </w:r>
          </w:p>
        </w:tc>
        <w:tc>
          <w:tcPr>
            <w:tcW w:type="dxa" w:w="5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2"/>
                <w:szCs w:val="22"/>
              </w:rPr>
              <w:t xml:space="preserve">164 m²</w:t>
            </w:r>
          </w:p>
        </w:tc>
      </w:tr>
      <w:tr>
        <w:tc>
          <w:tcPr>
            <w:tcW w:type="dxa" w:w="3600"/>
            <w:tcBorders>
              <w:top w:val="none" w:color="FFFFFF" w:sz="0"/>
              <w:left w:val="none" w:color="FFFFFF" w:sz="0"/>
              <w:bottom w:val="none" w:color="FFFFFF" w:sz="0"/>
              <w:right w:val="none" w:color="FFFFFF" w:sz="0"/>
            </w:tcBorders>
            <w:shd w:fill="F4F6FA" w:val="clear"/>
            <w:tcMar>
              <w:top w:type="dxa" w:w="80"/>
              <w:left w:type="dxa" w:w="120"/>
              <w:bottom w:type="dxa" w:w="80"/>
              <w:right w:type="dxa" w:w="120"/>
            </w:tcMar>
          </w:tcPr>
          <w:p>
            <w:r>
              <w:rPr>
                <w:rFonts w:ascii="Calibri" w:cs="Calibri" w:eastAsia="Calibri" w:hAnsi="Calibri"/>
                <w:b/>
                <w:bCs/>
                <w:color w:val="0B1F3A"/>
                <w:sz w:val="20"/>
                <w:szCs w:val="20"/>
              </w:rPr>
              <w:t xml:space="preserve">Energielabel</w:t>
            </w:r>
          </w:p>
        </w:tc>
        <w:tc>
          <w:tcPr>
            <w:tcW w:type="dxa" w:w="5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2"/>
                <w:szCs w:val="22"/>
              </w:rPr>
              <w:t xml:space="preserve">A+</w:t>
            </w:r>
          </w:p>
        </w:tc>
      </w:tr>
      <w:tr>
        <w:tc>
          <w:tcPr>
            <w:tcW w:type="dxa" w:w="3600"/>
            <w:tcBorders>
              <w:top w:val="none" w:color="FFFFFF" w:sz="0"/>
              <w:left w:val="none" w:color="FFFFFF" w:sz="0"/>
              <w:bottom w:val="none" w:color="FFFFFF" w:sz="0"/>
              <w:right w:val="none" w:color="FFFFFF" w:sz="0"/>
            </w:tcBorders>
            <w:shd w:fill="F4F6FA" w:val="clear"/>
            <w:tcMar>
              <w:top w:type="dxa" w:w="80"/>
              <w:left w:type="dxa" w:w="120"/>
              <w:bottom w:type="dxa" w:w="80"/>
              <w:right w:type="dxa" w:w="120"/>
            </w:tcMar>
          </w:tcPr>
          <w:p>
            <w:r>
              <w:rPr>
                <w:rFonts w:ascii="Calibri" w:cs="Calibri" w:eastAsia="Calibri" w:hAnsi="Calibri"/>
                <w:b/>
                <w:bCs/>
                <w:color w:val="0B1F3A"/>
                <w:sz w:val="20"/>
                <w:szCs w:val="20"/>
              </w:rPr>
              <w:t xml:space="preserve">Registratiedatum</w:t>
            </w:r>
          </w:p>
        </w:tc>
        <w:tc>
          <w:tcPr>
            <w:tcW w:type="dxa" w:w="5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2"/>
                <w:szCs w:val="22"/>
              </w:rPr>
              <w:t xml:space="preserve">22 januari 2025</w:t>
            </w:r>
          </w:p>
        </w:tc>
      </w:tr>
      <w:tr>
        <w:tc>
          <w:tcPr>
            <w:tcW w:type="dxa" w:w="3600"/>
            <w:tcBorders>
              <w:top w:val="none" w:color="FFFFFF" w:sz="0"/>
              <w:left w:val="none" w:color="FFFFFF" w:sz="0"/>
              <w:bottom w:val="none" w:color="FFFFFF" w:sz="0"/>
              <w:right w:val="none" w:color="FFFFFF" w:sz="0"/>
            </w:tcBorders>
            <w:shd w:fill="F4F6FA" w:val="clear"/>
            <w:tcMar>
              <w:top w:type="dxa" w:w="80"/>
              <w:left w:type="dxa" w:w="120"/>
              <w:bottom w:type="dxa" w:w="80"/>
              <w:right w:type="dxa" w:w="120"/>
            </w:tcMar>
          </w:tcPr>
          <w:p>
            <w:r>
              <w:rPr>
                <w:rFonts w:ascii="Calibri" w:cs="Calibri" w:eastAsia="Calibri" w:hAnsi="Calibri"/>
                <w:b/>
                <w:bCs/>
                <w:color w:val="0B1F3A"/>
                <w:sz w:val="20"/>
                <w:szCs w:val="20"/>
              </w:rPr>
              <w:t xml:space="preserve">Geldig tot</w:t>
            </w:r>
          </w:p>
        </w:tc>
        <w:tc>
          <w:tcPr>
            <w:tcW w:type="dxa" w:w="5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2"/>
                <w:szCs w:val="22"/>
              </w:rPr>
              <w:t xml:space="preserve">17 januari 2035</w:t>
            </w:r>
          </w:p>
        </w:tc>
      </w:tr>
      <w:tr>
        <w:tc>
          <w:tcPr>
            <w:tcW w:type="dxa" w:w="3600"/>
            <w:tcBorders>
              <w:top w:val="none" w:color="FFFFFF" w:sz="0"/>
              <w:left w:val="none" w:color="FFFFFF" w:sz="0"/>
              <w:bottom w:val="none" w:color="FFFFFF" w:sz="0"/>
              <w:right w:val="none" w:color="FFFFFF" w:sz="0"/>
            </w:tcBorders>
            <w:shd w:fill="F4F6FA" w:val="clear"/>
            <w:tcMar>
              <w:top w:type="dxa" w:w="80"/>
              <w:left w:type="dxa" w:w="120"/>
              <w:bottom w:type="dxa" w:w="80"/>
              <w:right w:type="dxa" w:w="120"/>
            </w:tcMar>
          </w:tcPr>
          <w:p>
            <w:r>
              <w:rPr>
                <w:rFonts w:ascii="Calibri" w:cs="Calibri" w:eastAsia="Calibri" w:hAnsi="Calibri"/>
                <w:b/>
                <w:bCs/>
                <w:color w:val="0B1F3A"/>
                <w:sz w:val="20"/>
                <w:szCs w:val="20"/>
              </w:rPr>
              <w:t xml:space="preserve">Energiebehoefte</w:t>
            </w:r>
          </w:p>
        </w:tc>
        <w:tc>
          <w:tcPr>
            <w:tcW w:type="dxa" w:w="5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2"/>
                <w:szCs w:val="22"/>
              </w:rPr>
              <w:t xml:space="preserve">144.8 kWh/m².jr</w:t>
            </w:r>
          </w:p>
        </w:tc>
      </w:tr>
      <w:tr>
        <w:tc>
          <w:tcPr>
            <w:tcW w:type="dxa" w:w="3600"/>
            <w:tcBorders>
              <w:top w:val="none" w:color="FFFFFF" w:sz="0"/>
              <w:left w:val="none" w:color="FFFFFF" w:sz="0"/>
              <w:bottom w:val="none" w:color="FFFFFF" w:sz="0"/>
              <w:right w:val="none" w:color="FFFFFF" w:sz="0"/>
            </w:tcBorders>
            <w:shd w:fill="F4F6FA" w:val="clear"/>
            <w:tcMar>
              <w:top w:type="dxa" w:w="80"/>
              <w:left w:type="dxa" w:w="120"/>
              <w:bottom w:type="dxa" w:w="80"/>
              <w:right w:type="dxa" w:w="120"/>
            </w:tcMar>
          </w:tcPr>
          <w:p>
            <w:r>
              <w:rPr>
                <w:rFonts w:ascii="Calibri" w:cs="Calibri" w:eastAsia="Calibri" w:hAnsi="Calibri"/>
                <w:b/>
                <w:bCs/>
                <w:color w:val="0B1F3A"/>
                <w:sz w:val="20"/>
                <w:szCs w:val="20"/>
              </w:rPr>
              <w:t xml:space="preserve">Warmtebehoefte</w:t>
            </w:r>
          </w:p>
        </w:tc>
        <w:tc>
          <w:tcPr>
            <w:tcW w:type="dxa" w:w="5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2"/>
                <w:szCs w:val="22"/>
              </w:rPr>
              <w:t xml:space="preserve">148.3 kWh/m².jr</w:t>
            </w:r>
          </w:p>
        </w:tc>
      </w:tr>
      <w:tr>
        <w:tc>
          <w:tcPr>
            <w:tcW w:type="dxa" w:w="3600"/>
            <w:tcBorders>
              <w:top w:val="none" w:color="FFFFFF" w:sz="0"/>
              <w:left w:val="none" w:color="FFFFFF" w:sz="0"/>
              <w:bottom w:val="none" w:color="FFFFFF" w:sz="0"/>
              <w:right w:val="none" w:color="FFFFFF" w:sz="0"/>
            </w:tcBorders>
            <w:shd w:fill="F4F6FA" w:val="clear"/>
            <w:tcMar>
              <w:top w:type="dxa" w:w="80"/>
              <w:left w:type="dxa" w:w="120"/>
              <w:bottom w:type="dxa" w:w="80"/>
              <w:right w:type="dxa" w:w="120"/>
            </w:tcMar>
          </w:tcPr>
          <w:p>
            <w:r>
              <w:rPr>
                <w:rFonts w:ascii="Calibri" w:cs="Calibri" w:eastAsia="Calibri" w:hAnsi="Calibri"/>
                <w:b/>
                <w:bCs/>
                <w:color w:val="0B1F3A"/>
                <w:sz w:val="20"/>
                <w:szCs w:val="20"/>
              </w:rPr>
              <w:t xml:space="preserve">Woningtype</w:t>
            </w:r>
          </w:p>
        </w:tc>
        <w:tc>
          <w:tcPr>
            <w:tcW w:type="dxa" w:w="5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2"/>
                <w:szCs w:val="22"/>
              </w:rPr>
              <w:t xml:space="preserve">Vrijstaande woning</w:t>
            </w:r>
          </w:p>
        </w:tc>
      </w:tr>
    </w:tbl>
    <w:p>
      <w:pPr>
        <w:spacing w:before="120" w:after="0"/>
      </w:pPr>
    </w:p>
    <w:p>
      <w:pPr>
        <w:spacing w:before="60" w:after="60"/>
      </w:pPr>
      <w:r>
        <w:rPr>
          <w:rFonts w:ascii="Calibri" w:cs="Calibri" w:eastAsia="Calibri" w:hAnsi="Calibri"/>
          <w:b w:val="false"/>
          <w:bCs w:val="false"/>
          <w:i/>
          <w:iCs/>
          <w:color w:val="5A6A85"/>
          <w:sz w:val="22"/>
          <w:szCs w:val="22"/>
        </w:rPr>
        <w:t xml:space="preserve">Bron: Basisregistratie Adressen en Gebouwen (BAG/PDOK) en landelijke energielabelregistratie EP-Online.</w:t>
      </w:r>
    </w:p>
    <w:p>
      <w:pPr>
        <w:spacing w:before="240" w:after="0"/>
      </w:pPr>
    </w:p>
    <w:p>
      <w:pPr>
        <w:pStyle w:val="Heading1"/>
        <w:pBdr>
          <w:bottom w:val="single" w:color="2E6BE6" w:sz="4" w:space="4"/>
        </w:pBdr>
        <w:spacing w:before="240" w:after="120"/>
      </w:pPr>
      <w:r>
        <w:rPr>
          <w:rFonts w:ascii="Calibri" w:cs="Calibri" w:eastAsia="Calibri" w:hAnsi="Calibri"/>
          <w:b/>
          <w:bCs/>
          <w:color w:val="0B1F3A"/>
          <w:sz w:val="28"/>
          <w:szCs w:val="28"/>
        </w:rPr>
        <w:t xml:space="preserve">Kenmerken van deze bouwperiode</w:t>
      </w:r>
    </w:p>
    <w:p>
      <w:pPr>
        <w:spacing w:before="80" w:after="160"/>
      </w:pPr>
      <w:r>
        <w:rPr>
          <w:rFonts w:ascii="Calibri" w:cs="Calibri" w:eastAsia="Calibri" w:hAnsi="Calibri"/>
          <w:color w:val="1A2340"/>
          <w:sz w:val="22"/>
          <w:szCs w:val="22"/>
        </w:rPr>
        <w:t xml:space="preserve">Woningen uit deze periode zijn gebouwd in een tijd waarin energieverbruik nog geen rol speelde bij het ontwerp. Deze huizen zijn vaak traditioneel opgetrokken met houten vloeren en massieve "steens" muren of vroege spouwmuren die bij oplevering volledig ongeïsoleerd waren. Kenmerkend is de sfeervolle architectuur, maar energetisch gezien zijn deze woningen de zwakste van de Nederlandse voorraad: oorspronkelijk was er uitsluitend enkel glas aanwezig en verliep de ventilatie volledig natuurlijk via kieren en naden.</w:t>
      </w:r>
    </w:p>
    <w:p>
      <w:r>
        <w:br w:type="page"/>
      </w:r>
    </w:p>
    <w:p>
      <w:pPr>
        <w:pStyle w:val="Heading1"/>
        <w:pBdr>
          <w:bottom w:val="single" w:color="2E6BE6" w:sz="4" w:space="4"/>
        </w:pBdr>
        <w:spacing w:before="240" w:after="120"/>
      </w:pPr>
      <w:r>
        <w:rPr>
          <w:rFonts w:ascii="Calibri" w:cs="Calibri" w:eastAsia="Calibri" w:hAnsi="Calibri"/>
          <w:b/>
          <w:bCs/>
          <w:color w:val="0B1F3A"/>
          <w:sz w:val="28"/>
          <w:szCs w:val="28"/>
        </w:rPr>
        <w:t xml:space="preserve">2. Interpretatie en context</w:t>
      </w:r>
    </w:p>
    <w:p>
      <w:pPr>
        <w:spacing w:before="80" w:after="120"/>
      </w:pPr>
      <w:r>
        <w:rPr>
          <w:rFonts w:ascii="Calibri" w:cs="Calibri" w:eastAsia="Calibri" w:hAnsi="Calibri"/>
          <w:b/>
          <w:bCs/>
          <w:color w:val="2E6BE6"/>
          <w:sz w:val="22"/>
          <w:szCs w:val="22"/>
        </w:rPr>
        <w:t xml:space="preserve">Gebouwprofiel</w:t>
      </w:r>
    </w:p>
    <w:p>
      <w:pPr>
        <w:spacing w:before="0" w:after="160"/>
      </w:pPr>
      <w:r>
        <w:rPr>
          <w:rFonts w:ascii="Calibri" w:cs="Calibri" w:eastAsia="Calibri" w:hAnsi="Calibri"/>
          <w:color w:val="1A2340"/>
          <w:sz w:val="22"/>
          <w:szCs w:val="22"/>
        </w:rPr>
        <w:t xml:space="preserve">Woningen uit deze periode zijn gebouwd in een tijd waarin energieverbruik nog geen rol speelde bij het ontwerp. Deze huizen zijn vaak traditioneel opgetrokken met houten vloeren en massieve "steens" muren of vroege spouwmuren die bij oplevering volledig ongeïsoleerd waren. Kenmerkend is de sfeervolle architectuur, maar energetisch gezien zijn deze woningen de zwakste van de Nederlandse voorraad: oorspronkelijk was er uitsluitend enkel glas aanwezig en verliep de ventilatie volledig natuurlijk via kieren en naden. Het geregistreerde woningtype is: Vrijstaande woning. Het energielabel is geregistreerd als A+ (geldig tot 17 januari 2035).</w:t>
      </w:r>
    </w:p>
    <w:p>
      <w:pPr>
        <w:pBdr>
          <w:bottom w:val="single" w:color="D0D8EC" w:sz="2" w:space="1"/>
        </w:pBdr>
        <w:spacing w:before="200" w:after="200"/>
      </w:pPr>
    </w:p>
    <w:p>
      <w:pPr>
        <w:spacing w:before="120" w:after="120"/>
      </w:pPr>
      <w:r>
        <w:rPr>
          <w:rFonts w:ascii="Calibri" w:cs="Calibri" w:eastAsia="Calibri" w:hAnsi="Calibri"/>
          <w:b/>
          <w:bCs/>
          <w:color w:val="2E6BE6"/>
          <w:sz w:val="22"/>
          <w:szCs w:val="22"/>
        </w:rPr>
        <w:t xml:space="preserve">Energieprestatie</w:t>
      </w:r>
    </w:p>
    <w:p>
      <w:pPr>
        <w:spacing w:before="0" w:after="160"/>
      </w:pPr>
      <w:r>
        <w:rPr>
          <w:rFonts w:ascii="Calibri" w:cs="Calibri" w:eastAsia="Calibri" w:hAnsi="Calibri"/>
          <w:color w:val="1A2340"/>
          <w:sz w:val="22"/>
          <w:szCs w:val="22"/>
        </w:rPr>
        <w:t xml:space="preserve">De geregistreerde energiebehoefte bedraagt circa 144.8 kWh/m².jr. De geregistreerde warmtebehoefte bedraagt circa 148.3 kWh/m².jr. Dit is relatief hoog; isolatiemaatregelen en kierdichting zijn dan vaak een logische eerste stap voor comfort en besparing.</w:t>
      </w:r>
    </w:p>
    <w:p>
      <w:pPr>
        <w:pBdr>
          <w:bottom w:val="single" w:color="D0D8EC" w:sz="2" w:space="1"/>
        </w:pBdr>
        <w:spacing w:before="200" w:after="200"/>
      </w:pPr>
    </w:p>
    <w:p>
      <w:pPr>
        <w:spacing w:before="120" w:after="120"/>
      </w:pPr>
      <w:r>
        <w:rPr>
          <w:rFonts w:ascii="Calibri" w:cs="Calibri" w:eastAsia="Calibri" w:hAnsi="Calibri"/>
          <w:b/>
          <w:bCs/>
          <w:color w:val="2E6BE6"/>
          <w:sz w:val="22"/>
          <w:szCs w:val="22"/>
        </w:rPr>
        <w:t xml:space="preserve">Aanpak</w:t>
      </w:r>
    </w:p>
    <w:p>
      <w:pPr>
        <w:spacing w:before="0" w:after="160"/>
      </w:pPr>
      <w:r>
        <w:rPr>
          <w:rFonts w:ascii="Calibri" w:cs="Calibri" w:eastAsia="Calibri" w:hAnsi="Calibri"/>
          <w:color w:val="1A2340"/>
          <w:sz w:val="22"/>
          <w:szCs w:val="22"/>
        </w:rPr>
        <w:t xml:space="preserve">Een logische aanpak volgt vaak de trias: (1) beperk warmtevraag (isolatie/kierdichting), (2) optimaliseer afgifte en regeling, (3) verduurzaming van de opwek (warmtepomp/duurzame bronnen). Onderstaande aanbevelingen zijn indicatief en moeten worden bevestigd met foto’s/inspectie.</w:t>
      </w:r>
    </w:p>
    <w:p>
      <w:r>
        <w:br w:type="page"/>
      </w:r>
    </w:p>
    <w:p>
      <w:pPr>
        <w:pStyle w:val="Heading1"/>
        <w:pBdr>
          <w:bottom w:val="single" w:color="2E6BE6" w:sz="4" w:space="4"/>
        </w:pBdr>
        <w:spacing w:before="240" w:after="120"/>
      </w:pPr>
      <w:r>
        <w:rPr>
          <w:rFonts w:ascii="Calibri" w:cs="Calibri" w:eastAsia="Calibri" w:hAnsi="Calibri"/>
          <w:b/>
          <w:bCs/>
          <w:color w:val="0B1F3A"/>
          <w:sz w:val="28"/>
          <w:szCs w:val="28"/>
        </w:rPr>
        <w:t xml:space="preserve">3. Kansen en verbeterpotentieel</w:t>
      </w:r>
    </w:p>
    <w:p>
      <w:pPr>
        <w:spacing w:before="60" w:after="60"/>
      </w:pPr>
      <w:r>
        <w:rPr>
          <w:rFonts w:ascii="Calibri" w:cs="Calibri" w:eastAsia="Calibri" w:hAnsi="Calibri"/>
          <w:b w:val="false"/>
          <w:bCs w:val="false"/>
          <w:i w:val="false"/>
          <w:iCs w:val="false"/>
          <w:color w:val="5A6A85"/>
          <w:sz w:val="22"/>
          <w:szCs w:val="22"/>
        </w:rPr>
        <w:t xml:space="preserve">Een lage score betekent niet dat geen actie mogelijk is, maar dat het rendement ten opzichte van de investering doorgaans beperkter is.</w:t>
      </w:r>
    </w:p>
    <w:p>
      <w:pPr>
        <w:spacing w:before="160" w:after="160"/>
      </w:pPr>
    </w:p>
    <w:tbl>
      <w:tblPr>
        <w:tblW w:type="dxa" w:w="9026"/>
        <w:tblBorders>
          <w:top w:val="single" w:color="D0D8EC" w:sz="1"/>
          <w:left w:val="single" w:color="D0D8EC" w:sz="1"/>
          <w:bottom w:val="single" w:color="D0D8EC" w:sz="1"/>
          <w:right w:val="single" w:color="D0D8EC" w:sz="1"/>
          <w:insideH w:val="single" w:color="auto" w:sz="4"/>
          <w:insideV w:val="single" w:color="auto" w:sz="4"/>
        </w:tblBorders>
      </w:tblPr>
      <w:tblGrid>
        <w:gridCol w:w="3600"/>
        <w:gridCol w:w="5426"/>
      </w:tblGrid>
      <w:tr>
        <w:tc>
          <w:tcPr>
            <w:tcW w:type="dxa" w:w="3600"/>
            <w:tcBorders>
              <w:top w:val="none" w:color="FFFFFF" w:sz="0"/>
              <w:left w:val="none" w:color="FFFFFF" w:sz="0"/>
              <w:bottom w:val="none" w:color="FFFFFF" w:sz="0"/>
              <w:right w:val="none" w:color="FFFFFF" w:sz="0"/>
            </w:tcBorders>
            <w:shd w:fill="F4F6FA" w:val="clear"/>
            <w:tcMar>
              <w:top w:type="dxa" w:w="80"/>
              <w:left w:type="dxa" w:w="120"/>
              <w:bottom w:type="dxa" w:w="80"/>
              <w:right w:type="dxa" w:w="120"/>
            </w:tcMar>
          </w:tcPr>
          <w:p>
            <w:r>
              <w:rPr>
                <w:rFonts w:ascii="Calibri" w:cs="Calibri" w:eastAsia="Calibri" w:hAnsi="Calibri"/>
                <w:b/>
                <w:bCs/>
                <w:color w:val="0B1F3A"/>
                <w:sz w:val="20"/>
                <w:szCs w:val="20"/>
              </w:rPr>
              <w:t xml:space="preserve">Onderdeel</w:t>
            </w:r>
          </w:p>
        </w:tc>
        <w:tc>
          <w:tcPr>
            <w:tcW w:type="dxa" w:w="5426"/>
            <w:tcBorders>
              <w:top w:val="none" w:color="FFFFFF" w:sz="0"/>
              <w:left w:val="none" w:color="FFFFFF" w:sz="0"/>
              <w:bottom w:val="none" w:color="FFFFFF" w:sz="0"/>
              <w:right w:val="none" w:color="FFFFFF" w:sz="0"/>
            </w:tcBorders>
            <w:shd w:fill="F4F6FA" w:val="clear"/>
            <w:tcMar>
              <w:top w:type="dxa" w:w="80"/>
              <w:left w:type="dxa" w:w="120"/>
              <w:bottom w:type="dxa" w:w="80"/>
              <w:right w:type="dxa" w:w="120"/>
            </w:tcMar>
          </w:tcPr>
          <w:p>
            <w:r>
              <w:rPr>
                <w:rFonts w:ascii="Calibri" w:cs="Calibri" w:eastAsia="Calibri" w:hAnsi="Calibri"/>
                <w:b/>
                <w:bCs/>
                <w:color w:val="0B1F3A"/>
                <w:sz w:val="20"/>
                <w:szCs w:val="20"/>
              </w:rPr>
              <w:t xml:space="preserve">Score</w:t>
            </w:r>
          </w:p>
        </w:tc>
      </w:tr>
      <w:tr>
        <w:tc>
          <w:tcPr>
            <w:tcW w:type="dxa" w:w="3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0"/>
                <w:szCs w:val="20"/>
              </w:rPr>
              <w:t xml:space="preserve">Dak</w:t>
            </w:r>
          </w:p>
        </w:tc>
        <w:tc>
          <w:tcPr>
            <w:tcW w:type="dxa" w:w="542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2"/>
                <w:szCs w:val="22"/>
              </w:rPr>
              <w:t xml:space="preserve">3/5</w:t>
            </w:r>
            <w:r>
              <w:rPr>
                <w:rFonts w:ascii="Calibri" w:cs="Calibri" w:eastAsia="Calibri" w:hAnsi="Calibri"/>
                <w:color w:val="5A6A85"/>
                <w:sz w:val="20"/>
                <w:szCs w:val="20"/>
              </w:rPr>
              <w:t xml:space="preserve"/>
            </w:r>
          </w:p>
        </w:tc>
      </w:tr>
      <w:tr>
        <w:tc>
          <w:tcPr>
            <w:tcW w:type="dxa" w:w="3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0"/>
                <w:szCs w:val="20"/>
              </w:rPr>
              <w:t xml:space="preserve">Gevel</w:t>
            </w:r>
          </w:p>
        </w:tc>
        <w:tc>
          <w:tcPr>
            <w:tcW w:type="dxa" w:w="542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2"/>
                <w:szCs w:val="22"/>
              </w:rPr>
              <w:t xml:space="preserve">3/5</w:t>
            </w:r>
            <w:r>
              <w:rPr>
                <w:rFonts w:ascii="Calibri" w:cs="Calibri" w:eastAsia="Calibri" w:hAnsi="Calibri"/>
                <w:color w:val="5A6A85"/>
                <w:sz w:val="20"/>
                <w:szCs w:val="20"/>
              </w:rPr>
              <w:t xml:space="preserve"/>
            </w:r>
          </w:p>
        </w:tc>
      </w:tr>
      <w:tr>
        <w:tc>
          <w:tcPr>
            <w:tcW w:type="dxa" w:w="3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0"/>
                <w:szCs w:val="20"/>
              </w:rPr>
              <w:t xml:space="preserve">Vloer</w:t>
            </w:r>
          </w:p>
        </w:tc>
        <w:tc>
          <w:tcPr>
            <w:tcW w:type="dxa" w:w="542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2"/>
                <w:szCs w:val="22"/>
              </w:rPr>
              <w:t xml:space="preserve">3/5</w:t>
            </w:r>
            <w:r>
              <w:rPr>
                <w:rFonts w:ascii="Calibri" w:cs="Calibri" w:eastAsia="Calibri" w:hAnsi="Calibri"/>
                <w:color w:val="5A6A85"/>
                <w:sz w:val="20"/>
                <w:szCs w:val="20"/>
              </w:rPr>
              <w:t xml:space="preserve"/>
            </w:r>
          </w:p>
        </w:tc>
      </w:tr>
      <w:tr>
        <w:tc>
          <w:tcPr>
            <w:tcW w:type="dxa" w:w="3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0"/>
                <w:szCs w:val="20"/>
              </w:rPr>
              <w:t xml:space="preserve">Glas</w:t>
            </w:r>
          </w:p>
        </w:tc>
        <w:tc>
          <w:tcPr>
            <w:tcW w:type="dxa" w:w="542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color w:val="1A2340"/>
                <w:sz w:val="22"/>
                <w:szCs w:val="22"/>
              </w:rPr>
              <w:t xml:space="preserve">3/5</w:t>
            </w:r>
            <w:r>
              <w:rPr>
                <w:rFonts w:ascii="Calibri" w:cs="Calibri" w:eastAsia="Calibri" w:hAnsi="Calibri"/>
                <w:color w:val="5A6A85"/>
                <w:sz w:val="20"/>
                <w:szCs w:val="20"/>
              </w:rPr>
              <w:t xml:space="preserve"/>
            </w:r>
          </w:p>
        </w:tc>
      </w:tr>
    </w:tbl>
    <w:p>
      <w:pPr>
        <w:spacing w:before="240" w:after="0"/>
      </w:pPr>
    </w:p>
    <w:p>
      <w:pPr>
        <w:pStyle w:val="Heading1"/>
        <w:pBdr>
          <w:bottom w:val="single" w:color="2E6BE6" w:sz="4" w:space="4"/>
        </w:pBdr>
        <w:spacing w:before="240" w:after="120"/>
      </w:pPr>
      <w:r>
        <w:rPr>
          <w:rFonts w:ascii="Calibri" w:cs="Calibri" w:eastAsia="Calibri" w:hAnsi="Calibri"/>
          <w:b/>
          <w:bCs/>
          <w:color w:val="0B1F3A"/>
          <w:sz w:val="28"/>
          <w:szCs w:val="28"/>
        </w:rPr>
        <w:t xml:space="preserve">4. Aandachtspunten en risico's</w:t>
      </w:r>
    </w:p>
    <w:p>
      <w:pPr>
        <w:spacing w:before="80" w:after="160"/>
      </w:pPr>
      <w:r>
        <w:rPr>
          <w:rFonts w:ascii="Calibri" w:cs="Calibri" w:eastAsia="Calibri" w:hAnsi="Calibri"/>
          <w:color w:val="1A2340"/>
          <w:sz w:val="22"/>
          <w:szCs w:val="22"/>
        </w:rPr>
        <w:t xml:space="preserve">Vocht en houtrot: omdat deze woningen vaak houten vloerbalken hebben die in de koude muren liggen, kan het achteraf isoleren van de binnenzijde leiden tot condensatie bij de balkkoppen, met houtrot tot gevolg. Koudebruggen: massieve muren geleiden kou direct naar binnen; plekken zoals stenen dorpels of stalen balken boven ramen blijven na isolatie extra koud, wat daar een verhoogd risico op schimmel geeft. Binnenklimaat: het dichten van alle kieren zonder een nieuw ventilatiesysteem te installeren maakt de lucht in huis snel vochtig en ongezond.</w:t>
      </w:r>
    </w:p>
    <w:p>
      <w:pPr>
        <w:pBdr>
          <w:bottom w:val="single" w:color="D0D8EC" w:sz="2" w:space="1"/>
        </w:pBdr>
        <w:spacing w:before="200" w:after="200"/>
      </w:pPr>
    </w:p>
    <w:p>
      <w:pPr>
        <w:pStyle w:val="Heading1"/>
        <w:pBdr>
          <w:bottom w:val="single" w:color="2E6BE6" w:sz="4" w:space="4"/>
        </w:pBdr>
        <w:spacing w:before="240" w:after="120"/>
      </w:pPr>
      <w:r>
        <w:rPr>
          <w:rFonts w:ascii="Calibri" w:cs="Calibri" w:eastAsia="Calibri" w:hAnsi="Calibri"/>
          <w:b/>
          <w:bCs/>
          <w:color w:val="0B1F3A"/>
          <w:sz w:val="28"/>
          <w:szCs w:val="28"/>
        </w:rPr>
        <w:t xml:space="preserve">5. Mogelijk relevante subsidies</w:t>
      </w:r>
    </w:p>
    <w:p>
      <w:pPr>
        <w:spacing w:before="80" w:after="160"/>
      </w:pPr>
      <w:r>
        <w:rPr>
          <w:rFonts w:ascii="Calibri" w:cs="Calibri" w:eastAsia="Calibri" w:hAnsi="Calibri"/>
          <w:color w:val="1A2340"/>
          <w:sz w:val="22"/>
          <w:szCs w:val="22"/>
        </w:rPr>
        <w:t xml:space="preserve">- Isolatie (dak/gevel/vloer) en/of glas: Bij uitvoering door een bedrijf en voldoen aan minimale oppervlaktes/waarden kan ISDE van toepassing zijn. Met twee maatregelen binnen 24 maanden is de vergoeding doorgaans hoger.</w:t>
      </w:r>
    </w:p>
    <w:p>
      <w:pPr>
        <w:pBdr>
          <w:bottom w:val="single" w:color="D0D8EC" w:sz="2" w:space="1"/>
        </w:pBdr>
        <w:spacing w:before="200" w:after="200"/>
      </w:pPr>
    </w:p>
    <w:p>
      <w:pPr>
        <w:pStyle w:val="Heading1"/>
        <w:pBdr>
          <w:bottom w:val="single" w:color="2E6BE6" w:sz="4" w:space="4"/>
        </w:pBdr>
        <w:spacing w:before="240" w:after="120"/>
      </w:pPr>
      <w:r>
        <w:rPr>
          <w:rFonts w:ascii="Calibri" w:cs="Calibri" w:eastAsia="Calibri" w:hAnsi="Calibri"/>
          <w:b/>
          <w:bCs/>
          <w:color w:val="0B1F3A"/>
          <w:sz w:val="28"/>
          <w:szCs w:val="28"/>
        </w:rPr>
        <w:t xml:space="preserve">6. Vervolgstappen</w:t>
      </w:r>
    </w:p>
    <w:p>
      <w:pPr>
        <w:pStyle w:val="ListParagraph"/>
        <w:numPr>
          <w:ilvl w:val="0"/>
          <w:numId w:val="2"/>
        </w:numPr>
        <w:spacing w:before="60" w:after="60"/>
      </w:pPr>
      <w:r>
        <w:rPr>
          <w:rFonts w:ascii="Calibri" w:cs="Calibri" w:eastAsia="Calibri" w:hAnsi="Calibri"/>
          <w:color w:val="1A2340"/>
          <w:sz w:val="22"/>
          <w:szCs w:val="22"/>
        </w:rPr>
        <w:t xml:space="preserve">Upload foto's van dak, gevel, glas, installaties en kruipruimte</w:t>
      </w:r>
    </w:p>
    <w:p>
      <w:pPr>
        <w:pStyle w:val="ListParagraph"/>
        <w:numPr>
          <w:ilvl w:val="0"/>
          <w:numId w:val="2"/>
        </w:numPr>
        <w:spacing w:before="60" w:after="60"/>
      </w:pPr>
      <w:r>
        <w:rPr>
          <w:rFonts w:ascii="Calibri" w:cs="Calibri" w:eastAsia="Calibri" w:hAnsi="Calibri"/>
          <w:color w:val="1A2340"/>
          <w:sz w:val="22"/>
          <w:szCs w:val="22"/>
        </w:rPr>
        <w:t xml:space="preserve">Bevestig woningtype en eventuele renovatiejaren</w:t>
      </w:r>
    </w:p>
    <w:p>
      <w:pPr>
        <w:pStyle w:val="ListParagraph"/>
        <w:numPr>
          <w:ilvl w:val="0"/>
          <w:numId w:val="2"/>
        </w:numPr>
        <w:spacing w:before="60" w:after="60"/>
      </w:pPr>
      <w:r>
        <w:rPr>
          <w:rFonts w:ascii="Calibri" w:cs="Calibri" w:eastAsia="Calibri" w:hAnsi="Calibri"/>
          <w:color w:val="1A2340"/>
          <w:sz w:val="22"/>
          <w:szCs w:val="22"/>
        </w:rPr>
        <w:t xml:space="preserve">Gebruik dit rapport als basis voor offerte- of adviesgesprekken</w:t>
      </w:r>
    </w:p>
    <w:p>
      <w:pPr>
        <w:spacing w:before="320" w:after="80"/>
      </w:pPr>
    </w:p>
    <w:p>
      <w:pPr>
        <w:pBdr>
          <w:left w:val="single" w:color="2E6BE6" w:sz="12" w:space="4"/>
        </w:pBdr>
        <w:shd w:fill="F4F6FA" w:val="clear"/>
        <w:spacing w:before="80" w:after="0"/>
        <w:ind w:left="200"/>
      </w:pPr>
      <w:r>
        <w:rPr>
          <w:rFonts w:ascii="Calibri" w:cs="Calibri" w:eastAsia="Calibri" w:hAnsi="Calibri"/>
          <w:i/>
          <w:iCs/>
          <w:color w:val="5A6A85"/>
          <w:sz w:val="18"/>
          <w:szCs w:val="18"/>
        </w:rPr>
        <w:t xml:space="preserve">Disclaimer: dit rapport is indicatief en gebaseerd op registraties en aannames. Aan dit document kunnen geen rechten worden ontleend. Uitvoering vereist altijd verificatie op locatie en controle van actuele regelgeving.</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C" w:sz="2" w:space="4"/>
      </w:pBdr>
      <w:tabs>
        <w:tab w:val="right" w:pos="9026"/>
      </w:tabs>
      <w:spacing w:before="80"/>
    </w:pPr>
    <w:r>
      <w:rPr>
        <w:rFonts w:ascii="Calibri" w:cs="Calibri" w:eastAsia="Calibri" w:hAnsi="Calibri"/>
        <w:color w:val="5A6A85"/>
        <w:sz w:val="16"/>
        <w:szCs w:val="16"/>
      </w:rPr>
      <w:t xml:space="preserve">Indicatief rapport · PandIQ · www.pandiq.nl</w:t>
    </w:r>
    <w:r>
      <w:rPr>
        <w:rFonts w:ascii="Calibri" w:cs="Calibri" w:eastAsia="Calibri" w:hAnsi="Calibri"/>
        <w:color w:val="5A6A85"/>
        <w:sz w:val="16"/>
        <w:szCs w:val="16"/>
      </w:rPr>
      <w:t xml:space="preserve">	Pagina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single" w:color="2E6BE6" w:sz="4"/>
        <w:right w:val="none" w:color="FFFFFF" w:sz="0"/>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vAlign w:val="center"/>
        </w:tcPr>
        <w:p>
          <w:r>
            <w:rPr>
              <w:rFonts w:ascii="Georgia" w:cs="Georgia" w:eastAsia="Georgia" w:hAnsi="Georgia"/>
              <w:b/>
              <w:bCs/>
              <w:color w:val="0B1F3A"/>
              <w:sz w:val="28"/>
              <w:szCs w:val="28"/>
            </w:rPr>
            <w:t xml:space="preserve">Pand</w:t>
          </w:r>
          <w:r>
            <w:rPr>
              <w:rFonts w:ascii="Georgia" w:cs="Georgia" w:eastAsia="Georgia" w:hAnsi="Georgia"/>
              <w:b/>
              <w:bCs/>
              <w:color w:val="3DBDBD"/>
              <w:sz w:val="28"/>
              <w:szCs w:val="28"/>
            </w:rPr>
            <w:t xml:space="preserve">IQ</w:t>
          </w:r>
        </w:p>
      </w:tc>
      <w:tc>
        <w:tcPr>
          <w:tcW w:type="dxa" w:w="4513"/>
          <w:tcBorders>
            <w:top w:val="none" w:color="FFFFFF" w:sz="0"/>
            <w:left w:val="none" w:color="FFFFFF" w:sz="0"/>
            <w:bottom w:val="none" w:color="FFFFFF" w:sz="0"/>
            <w:right w:val="none" w:color="FFFFFF" w:sz="0"/>
          </w:tcBorders>
          <w:vAlign w:val="center"/>
        </w:tcPr>
        <w:p>
          <w:pPr>
            <w:jc w:val="right"/>
          </w:pPr>
          <w:r>
            <w:rPr>
              <w:rFonts w:ascii="Calibri" w:cs="Calibri" w:eastAsia="Calibri" w:hAnsi="Calibri"/>
              <w:color w:val="5A6A85"/>
              <w:sz w:val="18"/>
              <w:szCs w:val="18"/>
            </w:rPr>
            <w:t xml:space="preserve">Isolatie Quickscan</w:t>
          </w:r>
        </w:p>
      </w:tc>
    </w:tr>
  </w:tbl>
  <w:p>
    <w:pPr>
      <w:spacing w:before="80" w:after="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Calibri" w:cs="Calibri" w:eastAsia="Calibri" w:hAnsi="Calibri"/>
      <w:b/>
      <w:bCs/>
      <w:color w:val="0B1F3A"/>
      <w:sz w:val="28"/>
      <w:szCs w:val="28"/>
    </w:rPr>
  </w:style>
  <w:style w:type="paragraph" w:styleId="Heading2">
    <w:name w:val="Heading 2"/>
    <w:basedOn w:val="Normal"/>
    <w:next w:val="Normal"/>
    <w:qFormat/>
    <w:pPr>
      <w:spacing w:before="180" w:after="80"/>
      <w:outlineLvl w:val="1"/>
    </w:pPr>
    <w:rPr>
      <w:rFonts w:ascii="Calibri" w:cs="Calibri" w:eastAsia="Calibri" w:hAnsi="Calibri"/>
      <w:b/>
      <w:bCs/>
      <w:color w:val="2E6BE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2026-03-12T15:10:58.063Z</dcterms:created>
  <dcterms:modified xsi:type="dcterms:W3CDTF">2026-03-12T15:10:58.064Z</dcterms:modified>
</cp:coreProperties>
</file>

<file path=docProps/custom.xml><?xml version="1.0" encoding="utf-8"?>
<Properties xmlns="http://schemas.openxmlformats.org/officeDocument/2006/custom-properties" xmlns:vt="http://schemas.openxmlformats.org/officeDocument/2006/docPropsVTypes"/>
</file>