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after="200"/>
      </w:pPr>
      <w:r>
        <w:rPr>
          <w:rFonts w:ascii="Georgia" w:cs="Georgia" w:eastAsia="Georgia" w:hAnsi="Georgia"/>
          <w:b/>
          <w:bCs/>
          <w:color w:val="0B1F3A"/>
          <w:sz w:val="72"/>
          <w:szCs w:val="72"/>
        </w:rPr>
        <w:t xml:space="preserve">Pand</w:t>
      </w:r>
      <w:r>
        <w:rPr>
          <w:rFonts w:ascii="Georgia" w:cs="Georgia" w:eastAsia="Georgia" w:hAnsi="Georgia"/>
          <w:b/>
          <w:bCs/>
          <w:color w:val="3DBDBD"/>
          <w:sz w:val="72"/>
          <w:szCs w:val="72"/>
        </w:rPr>
        <w:t xml:space="preserve">IQ</w:t>
      </w:r>
    </w:p>
    <w:p>
      <w:pPr>
        <w:spacing w:before="0" w:after="480"/>
      </w:pPr>
      <w:r>
        <w:rPr>
          <w:rFonts w:ascii="Calibri" w:cs="Calibri" w:eastAsia="Calibri" w:hAnsi="Calibri"/>
          <w:color w:val="5A6A85"/>
          <w:sz w:val="20"/>
          <w:szCs w:val="20"/>
        </w:rPr>
        <w:t xml:space="preserve">www.PandIQ.nl</w:t>
      </w:r>
    </w:p>
    <w:p>
      <w:pPr>
        <w:pBdr>
          <w:bottom w:val="single" w:color="2E6BE6" w:sz="12" w:space="1"/>
        </w:pBdr>
        <w:spacing w:before="0" w:after="480"/>
      </w:pPr>
    </w:p>
    <w:p>
      <w:pPr>
        <w:spacing w:before="480" w:after="120"/>
      </w:pPr>
      <w:r>
        <w:rPr>
          <w:rFonts w:ascii="Georgia" w:cs="Georgia" w:eastAsia="Georgia" w:hAnsi="Georgia"/>
          <w:b/>
          <w:bCs/>
          <w:color w:val="0B1F3A"/>
          <w:sz w:val="64"/>
          <w:szCs w:val="64"/>
        </w:rPr>
        <w:t xml:space="preserve">Advies verduurzaming</w:t>
      </w:r>
    </w:p>
    <w:p>
      <w:pPr>
        <w:spacing w:before="0" w:after="480"/>
      </w:pPr>
      <w:r>
        <w:rPr>
          <w:rFonts w:ascii="Calibri" w:cs="Calibri" w:eastAsia="Calibri" w:hAnsi="Calibri"/>
          <w:color w:val="5A6A85"/>
          <w:sz w:val="32"/>
          <w:szCs w:val="32"/>
        </w:rPr>
        <w:t xml:space="preserve">Isolatie Quickscan</w:t>
      </w:r>
    </w:p>
    <w:p>
      <w:pPr>
        <w:spacing w:before="0" w:after="120"/>
      </w:pPr>
      <w:r>
        <w:rPr>
          <w:rFonts w:ascii="Calibri" w:cs="Calibri" w:eastAsia="Calibri" w:hAnsi="Calibri"/>
          <w:b/>
          <w:bCs/>
          <w:color w:val="0B1F3A"/>
          <w:sz w:val="24"/>
          <w:szCs w:val="24"/>
        </w:rPr>
        <w:t xml:space="preserve">Adres:  Joeswerd 107, 9746CR Groningen</w:t>
      </w:r>
      <w:r>
        <w:rPr>
          <w:rFonts w:ascii="Calibri" w:cs="Calibri" w:eastAsia="Calibri" w:hAnsi="Calibri"/>
          <w:color w:val="1A2340"/>
          <w:sz w:val="22"/>
          <w:szCs w:val="22"/>
        </w:rPr>
        <w:t xml:space="preserve"/>
      </w:r>
    </w:p>
    <w:p>
      <w:pPr>
        <w:spacing w:before="0" w:after="240"/>
      </w:pPr>
      <w:r>
        <w:rPr>
          <w:rFonts w:ascii="Calibri" w:cs="Calibri" w:eastAsia="Calibri" w:hAnsi="Calibri"/>
          <w:b/>
          <w:bCs/>
          <w:color w:val="0B1F3A"/>
          <w:sz w:val="24"/>
          <w:szCs w:val="24"/>
        </w:rPr>
        <w:t xml:space="preserve">Datum:  19 maart 2026</w:t>
      </w:r>
      <w:r>
        <w:rPr>
          <w:rFonts w:ascii="Calibri" w:cs="Calibri" w:eastAsia="Calibri" w:hAnsi="Calibri"/>
          <w:color w:val="1A2340"/>
          <w:sz w:val="22"/>
          <w:szCs w:val="22"/>
        </w:rPr>
        <w:t xml:space="preserve"/>
      </w:r>
    </w:p>
    <w:p>
      <w:pPr>
        <w:spacing w:before="0" w:after="160"/>
      </w:pPr>
      <w:r>
        <w:rPr>
          <w:rFonts w:ascii="Calibri" w:cs="Calibri" w:eastAsia="Calibri" w:hAnsi="Calibri"/>
          <w:i/>
          <w:iCs/>
          <w:color w:val="5A6A85"/>
          <w:sz w:val="18"/>
          <w:szCs w:val="18"/>
        </w:rPr>
        <w:t xml:space="preserve">Indicatief rapport op basis van openbare registraties (BAG &amp; EP-Online)</w:t>
      </w:r>
    </w:p>
    <w:p>
      <w:pPr>
        <w:spacing w:before="160" w:after="160"/>
      </w:pPr>
      <w:r>
        <w:rPr>
          <w:rFonts w:ascii="Calibri" w:cs="Calibri" w:eastAsia="Calibri" w:hAnsi="Calibri"/>
          <w:color w:val="FFFFFF"/>
          <w:sz w:val="22"/>
          <w:szCs w:val="22"/>
        </w:rPr>
        <w:t xml:space="preserve"/>
      </w:r>
    </w:p>
    <w:p>
      <w:r>
        <w:br w:type="page"/>
      </w:r>
    </w:p>
    <w:p>
      <w:pPr>
        <w:pStyle w:val="Heading1"/>
        <w:pBdr>
          <w:bottom w:val="single" w:color="2E6BE6" w:sz="4" w:space="4"/>
        </w:pBdr>
        <w:spacing w:before="280" w:after="140"/>
      </w:pPr>
      <w:r>
        <w:rPr>
          <w:rFonts w:ascii="Calibri" w:cs="Calibri" w:eastAsia="Calibri" w:hAnsi="Calibri"/>
          <w:b/>
          <w:bCs/>
          <w:color w:val="0B1F3A"/>
          <w:sz w:val="28"/>
          <w:szCs w:val="28"/>
        </w:rPr>
        <w:t xml:space="preserve">1. Woninggegevens</w:t>
      </w:r>
    </w:p>
    <w:p>
      <w:pPr>
        <w:spacing w:before="60" w:after="60"/>
      </w:pPr>
      <w:r>
        <w:rPr>
          <w:rFonts w:ascii="Calibri" w:cs="Calibri" w:eastAsia="Calibri" w:hAnsi="Calibri"/>
          <w:b w:val="false"/>
          <w:bCs w:val="false"/>
          <w:i w:val="false"/>
          <w:iCs w:val="false"/>
          <w:color w:val="5A6A85"/>
          <w:sz w:val="22"/>
          <w:szCs w:val="22"/>
        </w:rPr>
        <w:t xml:space="preserve">Onderstaande gegevens zijn afkomstig uit de Basisregistratie Adressen en Gebouwen (BAG) en de landelijke energielabelregistratie EP-Online.</w:t>
      </w:r>
    </w:p>
    <w:p>
      <w:pPr>
        <w:spacing w:before="120" w:after="120"/>
      </w:pPr>
    </w:p>
    <w:tbl>
      <w:tblPr>
        <w:tblW w:type="dxa" w:w="9026"/>
        <w:tblBorders>
          <w:top w:val="single" w:color="D0D8EC" w:sz="1"/>
          <w:left w:val="single" w:color="D0D8EC" w:sz="1"/>
          <w:bottom w:val="single" w:color="D0D8EC" w:sz="1"/>
          <w:right w:val="single" w:color="D0D8EC" w:sz="1"/>
          <w:insideH w:val="single" w:color="auto" w:sz="4"/>
          <w:insideV w:val="single" w:color="auto" w:sz="4"/>
        </w:tblBorders>
      </w:tblPr>
      <w:tblGrid>
        <w:gridCol w:w="3600"/>
        <w:gridCol w:w="5426"/>
      </w:tblGrid>
      <w:tr>
        <w:tc>
          <w:tcPr>
            <w:tcW w:type="dxa" w:w="3600"/>
            <w:tcBorders>
              <w:top w:val="none" w:color="FFFFFF" w:sz="0"/>
              <w:left w:val="none" w:color="FFFFFF" w:sz="0"/>
              <w:bottom w:val="none" w:color="FFFFFF" w:sz="0"/>
              <w:right w:val="none" w:color="FFFFFF" w:sz="0"/>
            </w:tcBorders>
            <w:shd w:fill="F4F6FA" w:val="clear"/>
            <w:tcMar>
              <w:top w:type="dxa" w:w="80"/>
              <w:left w:type="dxa" w:w="120"/>
              <w:bottom w:type="dxa" w:w="80"/>
              <w:right w:type="dxa" w:w="120"/>
            </w:tcMar>
          </w:tcPr>
          <w:p>
            <w:r>
              <w:rPr>
                <w:rFonts w:ascii="Calibri" w:cs="Calibri" w:eastAsia="Calibri" w:hAnsi="Calibri"/>
                <w:b/>
                <w:bCs/>
                <w:color w:val="0B1F3A"/>
                <w:sz w:val="20"/>
                <w:szCs w:val="20"/>
              </w:rPr>
              <w:t xml:space="preserve">Adres</w:t>
            </w:r>
          </w:p>
        </w:tc>
        <w:tc>
          <w:tcPr>
            <w:tcW w:type="dxa" w:w="5426"/>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r>
              <w:rPr>
                <w:rFonts w:ascii="Calibri" w:cs="Calibri" w:eastAsia="Calibri" w:hAnsi="Calibri"/>
                <w:color w:val="1A2340"/>
                <w:sz w:val="22"/>
                <w:szCs w:val="22"/>
              </w:rPr>
              <w:t xml:space="preserve">Joeswerd 107, 9746CR Groningen</w:t>
            </w:r>
          </w:p>
        </w:tc>
      </w:tr>
      <w:tr>
        <w:tc>
          <w:tcPr>
            <w:tcW w:type="dxa" w:w="3600"/>
            <w:tcBorders>
              <w:top w:val="none" w:color="FFFFFF" w:sz="0"/>
              <w:left w:val="none" w:color="FFFFFF" w:sz="0"/>
              <w:bottom w:val="none" w:color="FFFFFF" w:sz="0"/>
              <w:right w:val="none" w:color="FFFFFF" w:sz="0"/>
            </w:tcBorders>
            <w:shd w:fill="F4F6FA" w:val="clear"/>
            <w:tcMar>
              <w:top w:type="dxa" w:w="80"/>
              <w:left w:type="dxa" w:w="120"/>
              <w:bottom w:type="dxa" w:w="80"/>
              <w:right w:type="dxa" w:w="120"/>
            </w:tcMar>
          </w:tcPr>
          <w:p>
            <w:r>
              <w:rPr>
                <w:rFonts w:ascii="Calibri" w:cs="Calibri" w:eastAsia="Calibri" w:hAnsi="Calibri"/>
                <w:b/>
                <w:bCs/>
                <w:color w:val="0B1F3A"/>
                <w:sz w:val="20"/>
                <w:szCs w:val="20"/>
              </w:rPr>
              <w:t xml:space="preserve">Datum rapport</w:t>
            </w:r>
          </w:p>
        </w:tc>
        <w:tc>
          <w:tcPr>
            <w:tcW w:type="dxa" w:w="5426"/>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r>
              <w:rPr>
                <w:rFonts w:ascii="Calibri" w:cs="Calibri" w:eastAsia="Calibri" w:hAnsi="Calibri"/>
                <w:color w:val="1A2340"/>
                <w:sz w:val="22"/>
                <w:szCs w:val="22"/>
              </w:rPr>
              <w:t xml:space="preserve">19 maart 2026</w:t>
            </w:r>
          </w:p>
        </w:tc>
      </w:tr>
      <w:tr>
        <w:tc>
          <w:tcPr>
            <w:tcW w:type="dxa" w:w="3600"/>
            <w:tcBorders>
              <w:top w:val="none" w:color="FFFFFF" w:sz="0"/>
              <w:left w:val="none" w:color="FFFFFF" w:sz="0"/>
              <w:bottom w:val="none" w:color="FFFFFF" w:sz="0"/>
              <w:right w:val="none" w:color="FFFFFF" w:sz="0"/>
            </w:tcBorders>
            <w:shd w:fill="F4F6FA" w:val="clear"/>
            <w:tcMar>
              <w:top w:type="dxa" w:w="80"/>
              <w:left w:type="dxa" w:w="120"/>
              <w:bottom w:type="dxa" w:w="80"/>
              <w:right w:type="dxa" w:w="120"/>
            </w:tcMar>
          </w:tcPr>
          <w:p>
            <w:r>
              <w:rPr>
                <w:rFonts w:ascii="Calibri" w:cs="Calibri" w:eastAsia="Calibri" w:hAnsi="Calibri"/>
                <w:b/>
                <w:bCs/>
                <w:color w:val="0B1F3A"/>
                <w:sz w:val="20"/>
                <w:szCs w:val="20"/>
              </w:rPr>
              <w:t xml:space="preserve">Bouwjaar</w:t>
            </w:r>
          </w:p>
        </w:tc>
        <w:tc>
          <w:tcPr>
            <w:tcW w:type="dxa" w:w="5426"/>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r>
              <w:rPr>
                <w:rFonts w:ascii="Calibri" w:cs="Calibri" w:eastAsia="Calibri" w:hAnsi="Calibri"/>
                <w:color w:val="1A2340"/>
                <w:sz w:val="22"/>
                <w:szCs w:val="22"/>
              </w:rPr>
              <w:t xml:space="preserve">2006</w:t>
            </w:r>
          </w:p>
        </w:tc>
      </w:tr>
      <w:tr>
        <w:tc>
          <w:tcPr>
            <w:tcW w:type="dxa" w:w="3600"/>
            <w:tcBorders>
              <w:top w:val="none" w:color="FFFFFF" w:sz="0"/>
              <w:left w:val="none" w:color="FFFFFF" w:sz="0"/>
              <w:bottom w:val="none" w:color="FFFFFF" w:sz="0"/>
              <w:right w:val="none" w:color="FFFFFF" w:sz="0"/>
            </w:tcBorders>
            <w:shd w:fill="F4F6FA" w:val="clear"/>
            <w:tcMar>
              <w:top w:type="dxa" w:w="80"/>
              <w:left w:type="dxa" w:w="120"/>
              <w:bottom w:type="dxa" w:w="80"/>
              <w:right w:type="dxa" w:w="120"/>
            </w:tcMar>
          </w:tcPr>
          <w:p>
            <w:r>
              <w:rPr>
                <w:rFonts w:ascii="Calibri" w:cs="Calibri" w:eastAsia="Calibri" w:hAnsi="Calibri"/>
                <w:b/>
                <w:bCs/>
                <w:color w:val="0B1F3A"/>
                <w:sz w:val="20"/>
                <w:szCs w:val="20"/>
              </w:rPr>
              <w:t xml:space="preserve">Bouwperiode</w:t>
            </w:r>
          </w:p>
        </w:tc>
        <w:tc>
          <w:tcPr>
            <w:tcW w:type="dxa" w:w="5426"/>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r>
              <w:rPr>
                <w:rFonts w:ascii="Calibri" w:cs="Calibri" w:eastAsia="Calibri" w:hAnsi="Calibri"/>
                <w:color w:val="1A2340"/>
                <w:sz w:val="22"/>
                <w:szCs w:val="22"/>
              </w:rPr>
              <w:t xml:space="preserve">2006–2014</w:t>
            </w:r>
          </w:p>
        </w:tc>
      </w:tr>
      <w:tr>
        <w:tc>
          <w:tcPr>
            <w:tcW w:type="dxa" w:w="3600"/>
            <w:tcBorders>
              <w:top w:val="none" w:color="FFFFFF" w:sz="0"/>
              <w:left w:val="none" w:color="FFFFFF" w:sz="0"/>
              <w:bottom w:val="none" w:color="FFFFFF" w:sz="0"/>
              <w:right w:val="none" w:color="FFFFFF" w:sz="0"/>
            </w:tcBorders>
            <w:shd w:fill="F4F6FA" w:val="clear"/>
            <w:tcMar>
              <w:top w:type="dxa" w:w="80"/>
              <w:left w:type="dxa" w:w="120"/>
              <w:bottom w:type="dxa" w:w="80"/>
              <w:right w:type="dxa" w:w="120"/>
            </w:tcMar>
          </w:tcPr>
          <w:p>
            <w:r>
              <w:rPr>
                <w:rFonts w:ascii="Calibri" w:cs="Calibri" w:eastAsia="Calibri" w:hAnsi="Calibri"/>
                <w:b/>
                <w:bCs/>
                <w:color w:val="0B1F3A"/>
                <w:sz w:val="20"/>
                <w:szCs w:val="20"/>
              </w:rPr>
              <w:t xml:space="preserve">Gebruiksoppervlakte</w:t>
            </w:r>
          </w:p>
        </w:tc>
        <w:tc>
          <w:tcPr>
            <w:tcW w:type="dxa" w:w="5426"/>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r>
              <w:rPr>
                <w:rFonts w:ascii="Calibri" w:cs="Calibri" w:eastAsia="Calibri" w:hAnsi="Calibri"/>
                <w:color w:val="1A2340"/>
                <w:sz w:val="22"/>
                <w:szCs w:val="22"/>
              </w:rPr>
              <w:t xml:space="preserve">90 m²</w:t>
            </w:r>
          </w:p>
        </w:tc>
      </w:tr>
      <w:tr>
        <w:tc>
          <w:tcPr>
            <w:tcW w:type="dxa" w:w="3600"/>
            <w:tcBorders>
              <w:top w:val="none" w:color="FFFFFF" w:sz="0"/>
              <w:left w:val="none" w:color="FFFFFF" w:sz="0"/>
              <w:bottom w:val="none" w:color="FFFFFF" w:sz="0"/>
              <w:right w:val="none" w:color="FFFFFF" w:sz="0"/>
            </w:tcBorders>
            <w:shd w:fill="F4F6FA" w:val="clear"/>
            <w:tcMar>
              <w:top w:type="dxa" w:w="80"/>
              <w:left w:type="dxa" w:w="120"/>
              <w:bottom w:type="dxa" w:w="80"/>
              <w:right w:type="dxa" w:w="120"/>
            </w:tcMar>
          </w:tcPr>
          <w:p>
            <w:r>
              <w:rPr>
                <w:rFonts w:ascii="Calibri" w:cs="Calibri" w:eastAsia="Calibri" w:hAnsi="Calibri"/>
                <w:b/>
                <w:bCs/>
                <w:color w:val="0B1F3A"/>
                <w:sz w:val="20"/>
                <w:szCs w:val="20"/>
              </w:rPr>
              <w:t xml:space="preserve">Energielabel</w:t>
            </w:r>
          </w:p>
        </w:tc>
        <w:tc>
          <w:tcPr>
            <w:tcW w:type="dxa" w:w="5426"/>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r>
              <w:rPr>
                <w:rFonts w:ascii="Calibri" w:cs="Calibri" w:eastAsia="Calibri" w:hAnsi="Calibri"/>
                <w:color w:val="1A2340"/>
                <w:sz w:val="22"/>
                <w:szCs w:val="22"/>
              </w:rPr>
              <w:t xml:space="preserve">A+</w:t>
            </w:r>
          </w:p>
        </w:tc>
      </w:tr>
      <w:tr>
        <w:tc>
          <w:tcPr>
            <w:tcW w:type="dxa" w:w="3600"/>
            <w:tcBorders>
              <w:top w:val="none" w:color="FFFFFF" w:sz="0"/>
              <w:left w:val="none" w:color="FFFFFF" w:sz="0"/>
              <w:bottom w:val="none" w:color="FFFFFF" w:sz="0"/>
              <w:right w:val="none" w:color="FFFFFF" w:sz="0"/>
            </w:tcBorders>
            <w:shd w:fill="F4F6FA" w:val="clear"/>
            <w:tcMar>
              <w:top w:type="dxa" w:w="80"/>
              <w:left w:type="dxa" w:w="120"/>
              <w:bottom w:type="dxa" w:w="80"/>
              <w:right w:type="dxa" w:w="120"/>
            </w:tcMar>
          </w:tcPr>
          <w:p>
            <w:r>
              <w:rPr>
                <w:rFonts w:ascii="Calibri" w:cs="Calibri" w:eastAsia="Calibri" w:hAnsi="Calibri"/>
                <w:b/>
                <w:bCs/>
                <w:color w:val="0B1F3A"/>
                <w:sz w:val="20"/>
                <w:szCs w:val="20"/>
              </w:rPr>
              <w:t xml:space="preserve">Registratiedatum</w:t>
            </w:r>
          </w:p>
        </w:tc>
        <w:tc>
          <w:tcPr>
            <w:tcW w:type="dxa" w:w="5426"/>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r>
              <w:rPr>
                <w:rFonts w:ascii="Calibri" w:cs="Calibri" w:eastAsia="Calibri" w:hAnsi="Calibri"/>
                <w:color w:val="1A2340"/>
                <w:sz w:val="22"/>
                <w:szCs w:val="22"/>
              </w:rPr>
              <w:t xml:space="preserve">24 september 2025</w:t>
            </w:r>
          </w:p>
        </w:tc>
      </w:tr>
      <w:tr>
        <w:tc>
          <w:tcPr>
            <w:tcW w:type="dxa" w:w="3600"/>
            <w:tcBorders>
              <w:top w:val="none" w:color="FFFFFF" w:sz="0"/>
              <w:left w:val="none" w:color="FFFFFF" w:sz="0"/>
              <w:bottom w:val="none" w:color="FFFFFF" w:sz="0"/>
              <w:right w:val="none" w:color="FFFFFF" w:sz="0"/>
            </w:tcBorders>
            <w:shd w:fill="F4F6FA" w:val="clear"/>
            <w:tcMar>
              <w:top w:type="dxa" w:w="80"/>
              <w:left w:type="dxa" w:w="120"/>
              <w:bottom w:type="dxa" w:w="80"/>
              <w:right w:type="dxa" w:w="120"/>
            </w:tcMar>
          </w:tcPr>
          <w:p>
            <w:r>
              <w:rPr>
                <w:rFonts w:ascii="Calibri" w:cs="Calibri" w:eastAsia="Calibri" w:hAnsi="Calibri"/>
                <w:b/>
                <w:bCs/>
                <w:color w:val="0B1F3A"/>
                <w:sz w:val="20"/>
                <w:szCs w:val="20"/>
              </w:rPr>
              <w:t xml:space="preserve">Geldig tot</w:t>
            </w:r>
          </w:p>
        </w:tc>
        <w:tc>
          <w:tcPr>
            <w:tcW w:type="dxa" w:w="5426"/>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r>
              <w:rPr>
                <w:rFonts w:ascii="Calibri" w:cs="Calibri" w:eastAsia="Calibri" w:hAnsi="Calibri"/>
                <w:color w:val="1A2340"/>
                <w:sz w:val="22"/>
                <w:szCs w:val="22"/>
              </w:rPr>
              <w:t xml:space="preserve">23 september 2035</w:t>
            </w:r>
          </w:p>
        </w:tc>
      </w:tr>
      <w:tr>
        <w:tc>
          <w:tcPr>
            <w:tcW w:type="dxa" w:w="3600"/>
            <w:tcBorders>
              <w:top w:val="none" w:color="FFFFFF" w:sz="0"/>
              <w:left w:val="none" w:color="FFFFFF" w:sz="0"/>
              <w:bottom w:val="none" w:color="FFFFFF" w:sz="0"/>
              <w:right w:val="none" w:color="FFFFFF" w:sz="0"/>
            </w:tcBorders>
            <w:shd w:fill="F4F6FA" w:val="clear"/>
            <w:tcMar>
              <w:top w:type="dxa" w:w="80"/>
              <w:left w:type="dxa" w:w="120"/>
              <w:bottom w:type="dxa" w:w="80"/>
              <w:right w:type="dxa" w:w="120"/>
            </w:tcMar>
          </w:tcPr>
          <w:p>
            <w:r>
              <w:rPr>
                <w:rFonts w:ascii="Calibri" w:cs="Calibri" w:eastAsia="Calibri" w:hAnsi="Calibri"/>
                <w:b/>
                <w:bCs/>
                <w:color w:val="0B1F3A"/>
                <w:sz w:val="20"/>
                <w:szCs w:val="20"/>
              </w:rPr>
              <w:t xml:space="preserve">Energiebehoefte</w:t>
            </w:r>
          </w:p>
        </w:tc>
        <w:tc>
          <w:tcPr>
            <w:tcW w:type="dxa" w:w="5426"/>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r>
              <w:rPr>
                <w:rFonts w:ascii="Calibri" w:cs="Calibri" w:eastAsia="Calibri" w:hAnsi="Calibri"/>
                <w:color w:val="1A2340"/>
                <w:sz w:val="22"/>
                <w:szCs w:val="22"/>
              </w:rPr>
              <w:t xml:space="preserve">79.6 kWh/m².jr</w:t>
            </w:r>
          </w:p>
        </w:tc>
      </w:tr>
      <w:tr>
        <w:tc>
          <w:tcPr>
            <w:tcW w:type="dxa" w:w="3600"/>
            <w:tcBorders>
              <w:top w:val="none" w:color="FFFFFF" w:sz="0"/>
              <w:left w:val="none" w:color="FFFFFF" w:sz="0"/>
              <w:bottom w:val="none" w:color="FFFFFF" w:sz="0"/>
              <w:right w:val="none" w:color="FFFFFF" w:sz="0"/>
            </w:tcBorders>
            <w:shd w:fill="F4F6FA" w:val="clear"/>
            <w:tcMar>
              <w:top w:type="dxa" w:w="80"/>
              <w:left w:type="dxa" w:w="120"/>
              <w:bottom w:type="dxa" w:w="80"/>
              <w:right w:type="dxa" w:w="120"/>
            </w:tcMar>
          </w:tcPr>
          <w:p>
            <w:r>
              <w:rPr>
                <w:rFonts w:ascii="Calibri" w:cs="Calibri" w:eastAsia="Calibri" w:hAnsi="Calibri"/>
                <w:b/>
                <w:bCs/>
                <w:color w:val="0B1F3A"/>
                <w:sz w:val="20"/>
                <w:szCs w:val="20"/>
              </w:rPr>
              <w:t xml:space="preserve">Warmtebehoefte</w:t>
            </w:r>
          </w:p>
        </w:tc>
        <w:tc>
          <w:tcPr>
            <w:tcW w:type="dxa" w:w="5426"/>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r>
              <w:rPr>
                <w:rFonts w:ascii="Calibri" w:cs="Calibri" w:eastAsia="Calibri" w:hAnsi="Calibri"/>
                <w:color w:val="1A2340"/>
                <w:sz w:val="22"/>
                <w:szCs w:val="22"/>
              </w:rPr>
              <w:t xml:space="preserve">73.2 kWh/m².jr</w:t>
            </w:r>
          </w:p>
        </w:tc>
      </w:tr>
      <w:tr>
        <w:tc>
          <w:tcPr>
            <w:tcW w:type="dxa" w:w="3600"/>
            <w:tcBorders>
              <w:top w:val="none" w:color="FFFFFF" w:sz="0"/>
              <w:left w:val="none" w:color="FFFFFF" w:sz="0"/>
              <w:bottom w:val="none" w:color="FFFFFF" w:sz="0"/>
              <w:right w:val="none" w:color="FFFFFF" w:sz="0"/>
            </w:tcBorders>
            <w:shd w:fill="F4F6FA" w:val="clear"/>
            <w:tcMar>
              <w:top w:type="dxa" w:w="80"/>
              <w:left w:type="dxa" w:w="120"/>
              <w:bottom w:type="dxa" w:w="80"/>
              <w:right w:type="dxa" w:w="120"/>
            </w:tcMar>
          </w:tcPr>
          <w:p>
            <w:r>
              <w:rPr>
                <w:rFonts w:ascii="Calibri" w:cs="Calibri" w:eastAsia="Calibri" w:hAnsi="Calibri"/>
                <w:b/>
                <w:bCs/>
                <w:color w:val="0B1F3A"/>
                <w:sz w:val="20"/>
                <w:szCs w:val="20"/>
              </w:rPr>
              <w:t xml:space="preserve">Woningtype</w:t>
            </w:r>
          </w:p>
        </w:tc>
        <w:tc>
          <w:tcPr>
            <w:tcW w:type="dxa" w:w="5426"/>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r>
              <w:rPr>
                <w:rFonts w:ascii="Calibri" w:cs="Calibri" w:eastAsia="Calibri" w:hAnsi="Calibri"/>
                <w:color w:val="1A2340"/>
                <w:sz w:val="22"/>
                <w:szCs w:val="22"/>
              </w:rPr>
              <w:t xml:space="preserve">Rijwoning tussen</w:t>
            </w:r>
          </w:p>
        </w:tc>
      </w:tr>
    </w:tbl>
    <w:p>
      <w:pPr>
        <w:spacing w:before="80" w:after="0"/>
      </w:pPr>
    </w:p>
    <w:p>
      <w:pPr>
        <w:spacing w:before="60" w:after="60"/>
      </w:pPr>
      <w:r>
        <w:rPr>
          <w:rFonts w:ascii="Calibri" w:cs="Calibri" w:eastAsia="Calibri" w:hAnsi="Calibri"/>
          <w:b w:val="false"/>
          <w:bCs w:val="false"/>
          <w:i/>
          <w:iCs/>
          <w:color w:val="5A6A85"/>
          <w:sz w:val="22"/>
          <w:szCs w:val="22"/>
        </w:rPr>
        <w:t xml:space="preserve">Bron: Basisregistratie Adressen en Gebouwen (BAG/PDOK) en landelijke energielabelregistratie EP-Online.</w:t>
      </w:r>
    </w:p>
    <w:p>
      <w:pPr>
        <w:spacing w:before="240" w:after="0"/>
      </w:pPr>
    </w:p>
    <w:p>
      <w:pPr>
        <w:pStyle w:val="Heading1"/>
        <w:pBdr>
          <w:bottom w:val="single" w:color="2E6BE6" w:sz="4" w:space="4"/>
        </w:pBdr>
        <w:spacing w:before="280" w:after="140"/>
      </w:pPr>
      <w:r>
        <w:rPr>
          <w:rFonts w:ascii="Calibri" w:cs="Calibri" w:eastAsia="Calibri" w:hAnsi="Calibri"/>
          <w:b/>
          <w:bCs/>
          <w:color w:val="0B1F3A"/>
          <w:sz w:val="28"/>
          <w:szCs w:val="28"/>
        </w:rPr>
        <w:t xml:space="preserve">Kenmerken van deze bouwperiode</w:t>
      </w:r>
    </w:p>
    <w:p>
      <w:pPr>
        <w:spacing w:before="80" w:after="160"/>
      </w:pPr>
      <w:r>
        <w:rPr>
          <w:rFonts w:ascii="Calibri" w:cs="Calibri" w:eastAsia="Calibri" w:hAnsi="Calibri"/>
          <w:color w:val="1A2340"/>
          <w:sz w:val="22"/>
          <w:szCs w:val="22"/>
        </w:rPr>
        <w:t xml:space="preserve">Uw woning valt onder het Bouwbesluit van 1992 en latere aanscherpingen via de Energieprestatiecoëfficiënt (EPC). De gebouwschil is goed — standaard voorzien van dakisolatie, spouwisolatie en mechanische ventilatie. Met een basisisolatie van Rc 2,5 zijn dit kwalitatief goede woningen. Het verbeterpotentieel zit bij deze woningen vooral in systeemoptimalisatie en eigen opwek.</w:t>
      </w:r>
    </w:p>
    <w:p>
      <w:pPr>
        <w:spacing w:before="120" w:after="120"/>
      </w:pPr>
    </w:p>
    <w:p>
      <w:pPr>
        <w:spacing w:before="80" w:after="160"/>
      </w:pPr>
      <w:r>
        <w:rPr>
          <w:rFonts w:ascii="Calibri" w:cs="Calibri" w:eastAsia="Calibri" w:hAnsi="Calibri"/>
          <w:color w:val="1A2340"/>
          <w:sz w:val="22"/>
          <w:szCs w:val="22"/>
        </w:rPr>
        <w:t xml:space="preserve">Met energielabel A+ betreft het een energiezuinige woning. Gerichte optimalisatie van installaties is de meest logische volgende stap.</w:t>
      </w:r>
    </w:p>
    <w:p>
      <w:pPr>
        <w:spacing w:before="120" w:after="120"/>
      </w:pPr>
    </w:p>
    <w:p>
      <w:pPr>
        <w:spacing w:before="80" w:after="160"/>
      </w:pPr>
      <w:r>
        <w:rPr>
          <w:rFonts w:ascii="Calibri" w:cs="Calibri" w:eastAsia="Calibri" w:hAnsi="Calibri"/>
          <w:color w:val="1A2340"/>
          <w:sz w:val="22"/>
          <w:szCs w:val="22"/>
        </w:rPr>
        <w:t xml:space="preserve">Als tussenwoning heeft u twee gedeelde muren — warmteverlies gaat hier vooral via dak, vloer en voor/achtergevel.</w:t>
      </w:r>
    </w:p>
    <w:p>
      <w:pPr>
        <w:spacing w:before="120" w:after="120"/>
      </w:pPr>
    </w:p>
    <w:p>
      <w:pPr>
        <w:spacing w:before="80" w:after="160"/>
      </w:pPr>
      <w:r>
        <w:rPr>
          <w:rFonts w:ascii="Calibri" w:cs="Calibri" w:eastAsia="Calibri" w:hAnsi="Calibri"/>
          <w:color w:val="1A2340"/>
          <w:sz w:val="22"/>
          <w:szCs w:val="22"/>
        </w:rPr>
        <w:t xml:space="preserve">Aanbevolen verduurzamingsmaatregelen voor deze bouwperiode:</w:t>
      </w:r>
    </w:p>
    <w:p>
      <w:pPr>
        <w:spacing w:before="80" w:after="160"/>
      </w:pPr>
      <w:r>
        <w:rPr>
          <w:rFonts w:ascii="Calibri" w:cs="Calibri" w:eastAsia="Calibri" w:hAnsi="Calibri"/>
          <w:color w:val="1A2340"/>
          <w:sz w:val="22"/>
          <w:szCs w:val="22"/>
        </w:rPr>
        <w:t xml:space="preserve">- Zonnepanelen (PV): het dak leent zich uitstekend voor PV-panelen; één paneel levert gemiddeld 315 kWh per jaar op.</w:t>
      </w:r>
    </w:p>
    <w:p>
      <w:pPr>
        <w:spacing w:before="80" w:after="160"/>
      </w:pPr>
      <w:r>
        <w:rPr>
          <w:rFonts w:ascii="Calibri" w:cs="Calibri" w:eastAsia="Calibri" w:hAnsi="Calibri"/>
          <w:color w:val="1A2340"/>
          <w:sz w:val="22"/>
          <w:szCs w:val="22"/>
        </w:rPr>
        <w:t xml:space="preserve">- Installatietechniek: voer een waterzijdige inregeling van de cv-installatie uit en plaats radiatorventilatoren voor een efficiëntere warmteafgifte.</w:t>
      </w:r>
    </w:p>
    <w:p>
      <w:pPr>
        <w:spacing w:before="120" w:after="120"/>
      </w:pPr>
    </w:p>
    <w:p>
      <w:pPr>
        <w:spacing w:before="80" w:after="160"/>
      </w:pPr>
      <w:r>
        <w:rPr>
          <w:rFonts w:ascii="Calibri" w:cs="Calibri" w:eastAsia="Calibri" w:hAnsi="Calibri"/>
          <w:color w:val="1A2340"/>
          <w:sz w:val="22"/>
          <w:szCs w:val="22"/>
        </w:rPr>
        <w:t xml:space="preserve">Laat de ventilatie controleren en overweeg een warmtepomp of hybride systeem — de schil is al op orde, de installatie is de volgende logische stap.</w:t>
      </w:r>
    </w:p>
    <w:p>
      <w:r>
        <w:br w:type="page"/>
      </w:r>
    </w:p>
    <w:p>
      <w:pPr>
        <w:pStyle w:val="Heading1"/>
        <w:pBdr>
          <w:bottom w:val="single" w:color="2E6BE6" w:sz="4" w:space="4"/>
        </w:pBdr>
        <w:spacing w:before="280" w:after="140"/>
      </w:pPr>
      <w:r>
        <w:rPr>
          <w:rFonts w:ascii="Calibri" w:cs="Calibri" w:eastAsia="Calibri" w:hAnsi="Calibri"/>
          <w:b/>
          <w:bCs/>
          <w:color w:val="0B1F3A"/>
          <w:sz w:val="28"/>
          <w:szCs w:val="28"/>
        </w:rPr>
        <w:t xml:space="preserve">2. Interpretatie en context</w:t>
      </w:r>
    </w:p>
    <w:p>
      <w:pPr>
        <w:spacing w:before="160" w:after="80"/>
      </w:pPr>
      <w:r>
        <w:rPr>
          <w:rFonts w:ascii="Calibri" w:cs="Calibri" w:eastAsia="Calibri" w:hAnsi="Calibri"/>
          <w:b/>
          <w:bCs/>
          <w:color w:val="2E6BE6"/>
          <w:sz w:val="22"/>
          <w:szCs w:val="22"/>
        </w:rPr>
        <w:t xml:space="preserve">Gebouwprofiel</w:t>
      </w:r>
    </w:p>
    <w:p>
      <w:pPr>
        <w:spacing w:before="60" w:after="160"/>
      </w:pPr>
      <w:r>
        <w:rPr>
          <w:rFonts w:ascii="Calibri" w:cs="Calibri" w:eastAsia="Calibri" w:hAnsi="Calibri"/>
          <w:color w:val="1A2340"/>
          <w:sz w:val="22"/>
          <w:szCs w:val="22"/>
        </w:rPr>
        <w:t xml:space="preserve">Dit rapport is opgesteld op basis van openbare registraties (BAG en EP-Online) voor Joeswerd 107, 9746CR Groningen. Het betreft een rijwoning tussen. De woning is gebouwd in 2006. Het geregistreerde energielabel is A+, geldig tot 23 september 2035.</w:t>
      </w:r>
    </w:p>
    <w:p>
      <w:pPr>
        <w:pBdr>
          <w:bottom w:val="single" w:color="D0D8EC" w:sz="2" w:space="1"/>
        </w:pBdr>
        <w:spacing w:before="160" w:after="160"/>
      </w:pPr>
    </w:p>
    <w:p>
      <w:pPr>
        <w:spacing w:before="160" w:after="80"/>
      </w:pPr>
      <w:r>
        <w:rPr>
          <w:rFonts w:ascii="Calibri" w:cs="Calibri" w:eastAsia="Calibri" w:hAnsi="Calibri"/>
          <w:b/>
          <w:bCs/>
          <w:color w:val="2E6BE6"/>
          <w:sz w:val="22"/>
          <w:szCs w:val="22"/>
        </w:rPr>
        <w:t xml:space="preserve">Energieprestatie</w:t>
      </w:r>
    </w:p>
    <w:p>
      <w:pPr>
        <w:spacing w:before="60" w:after="160"/>
      </w:pPr>
      <w:r>
        <w:rPr>
          <w:rFonts w:ascii="Calibri" w:cs="Calibri" w:eastAsia="Calibri" w:hAnsi="Calibri"/>
          <w:color w:val="1A2340"/>
          <w:sz w:val="22"/>
          <w:szCs w:val="22"/>
        </w:rPr>
        <w:t xml:space="preserve">De geregistreerde energiebehoefte bedraagt 80 kWh per m² per jaar. De warmtebehoefte is 73 kWh per m² per jaar. Dit wijst op een efficiënte gebouwschil. Grote isolatiemaatregelen zijn waarschijnlijk niet de eerste prioriteit; optimalisatie van installaties is effectiever. Energielabel A+ bevestigt de goede prestatie van deze woning.</w:t>
      </w:r>
    </w:p>
    <w:p>
      <w:pPr>
        <w:pBdr>
          <w:bottom w:val="single" w:color="D0D8EC" w:sz="2" w:space="1"/>
        </w:pBdr>
        <w:spacing w:before="160" w:after="160"/>
      </w:pPr>
    </w:p>
    <w:p>
      <w:pPr>
        <w:spacing w:before="160" w:after="80"/>
      </w:pPr>
      <w:r>
        <w:rPr>
          <w:rFonts w:ascii="Calibri" w:cs="Calibri" w:eastAsia="Calibri" w:hAnsi="Calibri"/>
          <w:b/>
          <w:bCs/>
          <w:color w:val="2E6BE6"/>
          <w:sz w:val="22"/>
          <w:szCs w:val="22"/>
        </w:rPr>
        <w:t xml:space="preserve">Aanpak</w:t>
      </w:r>
    </w:p>
    <w:p>
      <w:pPr>
        <w:spacing w:before="60" w:after="160"/>
      </w:pPr>
      <w:r>
        <w:rPr>
          <w:rFonts w:ascii="Calibri" w:cs="Calibri" w:eastAsia="Calibri" w:hAnsi="Calibri"/>
          <w:color w:val="1A2340"/>
          <w:sz w:val="22"/>
          <w:szCs w:val="22"/>
        </w:rPr>
        <w:t xml:space="preserve">De schil van deze woning is redelijk goed. De meeste winst zit in installaties: ventilatie, verwarming en warm tapwater. Laat de ventilatie controleren en overweeg een warmtepomp of hybride systeem — de schil is al op orde, de installatie is de volgende logische stap. De bovenstaande aanbevelingen zijn indicatief op basis van registratiedata. Bevestiging via foto-inspectie of een maatwerkadvies is altijd aan te raden.</w:t>
      </w:r>
    </w:p>
    <w:p>
      <w:r>
        <w:br w:type="page"/>
      </w:r>
    </w:p>
    <w:p>
      <w:pPr>
        <w:pStyle w:val="Heading1"/>
        <w:pBdr>
          <w:bottom w:val="single" w:color="2E6BE6" w:sz="4" w:space="4"/>
        </w:pBdr>
        <w:spacing w:before="280" w:after="140"/>
      </w:pPr>
      <w:r>
        <w:rPr>
          <w:rFonts w:ascii="Calibri" w:cs="Calibri" w:eastAsia="Calibri" w:hAnsi="Calibri"/>
          <w:b/>
          <w:bCs/>
          <w:color w:val="0B1F3A"/>
          <w:sz w:val="28"/>
          <w:szCs w:val="28"/>
        </w:rPr>
        <w:t xml:space="preserve">3. Kansen en verbeterpotentieel</w:t>
      </w:r>
    </w:p>
    <w:p>
      <w:pPr>
        <w:spacing w:before="60" w:after="60"/>
      </w:pPr>
      <w:r>
        <w:rPr>
          <w:rFonts w:ascii="Calibri" w:cs="Calibri" w:eastAsia="Calibri" w:hAnsi="Calibri"/>
          <w:b w:val="false"/>
          <w:bCs w:val="false"/>
          <w:i w:val="false"/>
          <w:iCs w:val="false"/>
          <w:color w:val="5A6A85"/>
          <w:sz w:val="22"/>
          <w:szCs w:val="22"/>
        </w:rPr>
        <w:t xml:space="preserve">Een lage score betekent niet dat geen actie mogelijk is, maar dat het rendement ten opzichte van de investering doorgaans beperkter is.</w:t>
      </w:r>
    </w:p>
    <w:p>
      <w:pPr>
        <w:spacing w:before="120" w:after="120"/>
      </w:pPr>
    </w:p>
    <w:tbl>
      <w:tblPr>
        <w:tblW w:type="dxa" w:w="9026"/>
        <w:tblBorders>
          <w:top w:val="single" w:color="D0D8EC" w:sz="1"/>
          <w:left w:val="single" w:color="D0D8EC" w:sz="1"/>
          <w:bottom w:val="single" w:color="D0D8EC" w:sz="1"/>
          <w:right w:val="single" w:color="D0D8EC" w:sz="1"/>
          <w:insideH w:val="single" w:color="auto" w:sz="4"/>
          <w:insideV w:val="single" w:color="auto" w:sz="4"/>
        </w:tblBorders>
      </w:tblPr>
      <w:tblGrid>
        <w:gridCol w:w="3600"/>
        <w:gridCol w:w="5426"/>
      </w:tblGrid>
      <w:tr>
        <w:tc>
          <w:tcPr>
            <w:tcW w:type="dxa" w:w="2400"/>
            <w:tcBorders>
              <w:top w:val="none" w:color="FFFFFF" w:sz="0"/>
              <w:left w:val="none" w:color="FFFFFF" w:sz="0"/>
              <w:bottom w:val="none" w:color="FFFFFF" w:sz="0"/>
              <w:right w:val="none" w:color="FFFFFF" w:sz="0"/>
            </w:tcBorders>
            <w:shd w:fill="F4F6FA" w:val="clear"/>
            <w:tcMar>
              <w:top w:type="dxa" w:w="80"/>
              <w:left w:type="dxa" w:w="120"/>
              <w:bottom w:type="dxa" w:w="80"/>
              <w:right w:type="dxa" w:w="120"/>
            </w:tcMar>
          </w:tcPr>
          <w:p>
            <w:r>
              <w:rPr>
                <w:rFonts w:ascii="Calibri" w:cs="Calibri" w:eastAsia="Calibri" w:hAnsi="Calibri"/>
                <w:b/>
                <w:bCs/>
                <w:color w:val="0B1F3A"/>
                <w:sz w:val="20"/>
                <w:szCs w:val="20"/>
              </w:rPr>
              <w:t xml:space="preserve">Onderdeel</w:t>
            </w:r>
          </w:p>
        </w:tc>
        <w:tc>
          <w:tcPr>
            <w:tcW w:type="dxa" w:w="1400"/>
            <w:tcBorders>
              <w:top w:val="none" w:color="FFFFFF" w:sz="0"/>
              <w:left w:val="none" w:color="FFFFFF" w:sz="0"/>
              <w:bottom w:val="none" w:color="FFFFFF" w:sz="0"/>
              <w:right w:val="none" w:color="FFFFFF" w:sz="0"/>
            </w:tcBorders>
            <w:shd w:fill="F4F6FA" w:val="clear"/>
            <w:tcMar>
              <w:top w:type="dxa" w:w="80"/>
              <w:left w:type="dxa" w:w="120"/>
              <w:bottom w:type="dxa" w:w="80"/>
              <w:right w:type="dxa" w:w="120"/>
            </w:tcMar>
          </w:tcPr>
          <w:p>
            <w:r>
              <w:rPr>
                <w:rFonts w:ascii="Calibri" w:cs="Calibri" w:eastAsia="Calibri" w:hAnsi="Calibri"/>
                <w:b/>
                <w:bCs/>
                <w:color w:val="0B1F3A"/>
                <w:sz w:val="20"/>
                <w:szCs w:val="20"/>
              </w:rPr>
              <w:t xml:space="preserve">Score</w:t>
            </w:r>
          </w:p>
        </w:tc>
        <w:tc>
          <w:tcPr>
            <w:tcW w:type="dxa" w:w="5226"/>
            <w:tcBorders>
              <w:top w:val="none" w:color="FFFFFF" w:sz="0"/>
              <w:left w:val="none" w:color="FFFFFF" w:sz="0"/>
              <w:bottom w:val="none" w:color="FFFFFF" w:sz="0"/>
              <w:right w:val="none" w:color="FFFFFF" w:sz="0"/>
            </w:tcBorders>
            <w:shd w:fill="F4F6FA" w:val="clear"/>
            <w:tcMar>
              <w:top w:type="dxa" w:w="80"/>
              <w:left w:type="dxa" w:w="120"/>
              <w:bottom w:type="dxa" w:w="80"/>
              <w:right w:type="dxa" w:w="120"/>
            </w:tcMar>
          </w:tcPr>
          <w:p>
            <w:r>
              <w:rPr>
                <w:rFonts w:ascii="Calibri" w:cs="Calibri" w:eastAsia="Calibri" w:hAnsi="Calibri"/>
                <w:b/>
                <w:bCs/>
                <w:color w:val="0B1F3A"/>
                <w:sz w:val="20"/>
                <w:szCs w:val="20"/>
              </w:rPr>
              <w:t xml:space="preserve">Beoordeling</w:t>
            </w:r>
          </w:p>
        </w:tc>
      </w:tr>
      <w:tr>
        <w:tc>
          <w:tcPr>
            <w:tcW w:type="dxa" w:w="2400"/>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r>
              <w:rPr>
                <w:rFonts w:ascii="Calibri" w:cs="Calibri" w:eastAsia="Calibri" w:hAnsi="Calibri"/>
                <w:color w:val="1A2340"/>
                <w:sz w:val="20"/>
                <w:szCs w:val="20"/>
              </w:rPr>
              <w:t xml:space="preserve">Dak</w:t>
            </w:r>
          </w:p>
        </w:tc>
        <w:tc>
          <w:tcPr>
            <w:tcW w:type="dxa" w:w="1400"/>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r>
              <w:rPr>
                <w:rFonts w:ascii="Calibri" w:cs="Calibri" w:eastAsia="Calibri" w:hAnsi="Calibri"/>
                <w:color w:val="1A2340"/>
                <w:sz w:val="22"/>
                <w:szCs w:val="22"/>
              </w:rPr>
              <w:t xml:space="preserve">1/5</w:t>
            </w:r>
            <w:r>
              <w:rPr>
                <w:rFonts w:ascii="Calibri" w:cs="Calibri" w:eastAsia="Calibri" w:hAnsi="Calibri"/>
                <w:color w:val="5A6A85"/>
                <w:sz w:val="20"/>
                <w:szCs w:val="20"/>
              </w:rPr>
              <w:t xml:space="preserve"/>
            </w:r>
          </w:p>
        </w:tc>
        <w:tc>
          <w:tcPr>
            <w:tcW w:type="dxa" w:w="5226"/>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r>
              <w:rPr>
                <w:rFonts w:ascii="Calibri" w:cs="Calibri" w:eastAsia="Calibri" w:hAnsi="Calibri"/>
                <w:color w:val="1A2340"/>
                <w:sz w:val="22"/>
                <w:szCs w:val="22"/>
              </w:rPr>
              <w:t xml:space="preserve">Goed</w:t>
            </w:r>
          </w:p>
        </w:tc>
      </w:tr>
      <w:tr>
        <w:tc>
          <w:tcPr>
            <w:tcW w:type="dxa" w:w="2400"/>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r>
              <w:rPr>
                <w:rFonts w:ascii="Calibri" w:cs="Calibri" w:eastAsia="Calibri" w:hAnsi="Calibri"/>
                <w:color w:val="1A2340"/>
                <w:sz w:val="20"/>
                <w:szCs w:val="20"/>
              </w:rPr>
              <w:t xml:space="preserve">Gevel</w:t>
            </w:r>
          </w:p>
        </w:tc>
        <w:tc>
          <w:tcPr>
            <w:tcW w:type="dxa" w:w="1400"/>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r>
              <w:rPr>
                <w:rFonts w:ascii="Calibri" w:cs="Calibri" w:eastAsia="Calibri" w:hAnsi="Calibri"/>
                <w:color w:val="1A2340"/>
                <w:sz w:val="22"/>
                <w:szCs w:val="22"/>
              </w:rPr>
              <w:t xml:space="preserve">1/5</w:t>
            </w:r>
            <w:r>
              <w:rPr>
                <w:rFonts w:ascii="Calibri" w:cs="Calibri" w:eastAsia="Calibri" w:hAnsi="Calibri"/>
                <w:color w:val="5A6A85"/>
                <w:sz w:val="20"/>
                <w:szCs w:val="20"/>
              </w:rPr>
              <w:t xml:space="preserve"/>
            </w:r>
          </w:p>
        </w:tc>
        <w:tc>
          <w:tcPr>
            <w:tcW w:type="dxa" w:w="5226"/>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r>
              <w:rPr>
                <w:rFonts w:ascii="Calibri" w:cs="Calibri" w:eastAsia="Calibri" w:hAnsi="Calibri"/>
                <w:color w:val="1A2340"/>
                <w:sz w:val="22"/>
                <w:szCs w:val="22"/>
              </w:rPr>
              <w:t xml:space="preserve">Goed</w:t>
            </w:r>
          </w:p>
        </w:tc>
      </w:tr>
      <w:tr>
        <w:tc>
          <w:tcPr>
            <w:tcW w:type="dxa" w:w="2400"/>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r>
              <w:rPr>
                <w:rFonts w:ascii="Calibri" w:cs="Calibri" w:eastAsia="Calibri" w:hAnsi="Calibri"/>
                <w:color w:val="1A2340"/>
                <w:sz w:val="20"/>
                <w:szCs w:val="20"/>
              </w:rPr>
              <w:t xml:space="preserve">Vloer</w:t>
            </w:r>
          </w:p>
        </w:tc>
        <w:tc>
          <w:tcPr>
            <w:tcW w:type="dxa" w:w="1400"/>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r>
              <w:rPr>
                <w:rFonts w:ascii="Calibri" w:cs="Calibri" w:eastAsia="Calibri" w:hAnsi="Calibri"/>
                <w:color w:val="1A2340"/>
                <w:sz w:val="22"/>
                <w:szCs w:val="22"/>
              </w:rPr>
              <w:t xml:space="preserve">1/5</w:t>
            </w:r>
            <w:r>
              <w:rPr>
                <w:rFonts w:ascii="Calibri" w:cs="Calibri" w:eastAsia="Calibri" w:hAnsi="Calibri"/>
                <w:color w:val="5A6A85"/>
                <w:sz w:val="20"/>
                <w:szCs w:val="20"/>
              </w:rPr>
              <w:t xml:space="preserve"/>
            </w:r>
          </w:p>
        </w:tc>
        <w:tc>
          <w:tcPr>
            <w:tcW w:type="dxa" w:w="5226"/>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r>
              <w:rPr>
                <w:rFonts w:ascii="Calibri" w:cs="Calibri" w:eastAsia="Calibri" w:hAnsi="Calibri"/>
                <w:color w:val="1A2340"/>
                <w:sz w:val="22"/>
                <w:szCs w:val="22"/>
              </w:rPr>
              <w:t xml:space="preserve">Goed</w:t>
            </w:r>
          </w:p>
        </w:tc>
      </w:tr>
      <w:tr>
        <w:tc>
          <w:tcPr>
            <w:tcW w:type="dxa" w:w="2400"/>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r>
              <w:rPr>
                <w:rFonts w:ascii="Calibri" w:cs="Calibri" w:eastAsia="Calibri" w:hAnsi="Calibri"/>
                <w:color w:val="1A2340"/>
                <w:sz w:val="20"/>
                <w:szCs w:val="20"/>
              </w:rPr>
              <w:t xml:space="preserve">Glas</w:t>
            </w:r>
          </w:p>
        </w:tc>
        <w:tc>
          <w:tcPr>
            <w:tcW w:type="dxa" w:w="1400"/>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r>
              <w:rPr>
                <w:rFonts w:ascii="Calibri" w:cs="Calibri" w:eastAsia="Calibri" w:hAnsi="Calibri"/>
                <w:color w:val="1A2340"/>
                <w:sz w:val="22"/>
                <w:szCs w:val="22"/>
              </w:rPr>
              <w:t xml:space="preserve">1/5</w:t>
            </w:r>
            <w:r>
              <w:rPr>
                <w:rFonts w:ascii="Calibri" w:cs="Calibri" w:eastAsia="Calibri" w:hAnsi="Calibri"/>
                <w:color w:val="5A6A85"/>
                <w:sz w:val="20"/>
                <w:szCs w:val="20"/>
              </w:rPr>
              <w:t xml:space="preserve"/>
            </w:r>
          </w:p>
        </w:tc>
        <w:tc>
          <w:tcPr>
            <w:tcW w:type="dxa" w:w="5226"/>
            <w:tcBorders>
              <w:top w:val="none" w:color="FFFFFF" w:sz="0"/>
              <w:left w:val="none" w:color="FFFFFF" w:sz="0"/>
              <w:bottom w:val="none" w:color="FFFFFF" w:sz="0"/>
              <w:right w:val="none" w:color="FFFFFF" w:sz="0"/>
            </w:tcBorders>
            <w:shd w:fill="FFFFFF" w:val="clear"/>
            <w:tcMar>
              <w:top w:type="dxa" w:w="80"/>
              <w:left w:type="dxa" w:w="120"/>
              <w:bottom w:type="dxa" w:w="80"/>
              <w:right w:type="dxa" w:w="120"/>
            </w:tcMar>
          </w:tcPr>
          <w:p>
            <w:r>
              <w:rPr>
                <w:rFonts w:ascii="Calibri" w:cs="Calibri" w:eastAsia="Calibri" w:hAnsi="Calibri"/>
                <w:color w:val="1A2340"/>
                <w:sz w:val="22"/>
                <w:szCs w:val="22"/>
              </w:rPr>
              <w:t xml:space="preserve">Goed</w:t>
            </w:r>
          </w:p>
        </w:tc>
      </w:tr>
    </w:tbl>
    <w:p>
      <w:pPr>
        <w:spacing w:before="240" w:after="0"/>
      </w:pPr>
    </w:p>
    <w:p>
      <w:pPr>
        <w:pStyle w:val="Heading1"/>
        <w:pBdr>
          <w:bottom w:val="single" w:color="2E6BE6" w:sz="4" w:space="4"/>
        </w:pBdr>
        <w:spacing w:before="280" w:after="140"/>
      </w:pPr>
      <w:r>
        <w:rPr>
          <w:rFonts w:ascii="Calibri" w:cs="Calibri" w:eastAsia="Calibri" w:hAnsi="Calibri"/>
          <w:b/>
          <w:bCs/>
          <w:color w:val="0B1F3A"/>
          <w:sz w:val="28"/>
          <w:szCs w:val="28"/>
        </w:rPr>
        <w:t xml:space="preserve">4. Aandachtspunten en risico’s</w:t>
      </w:r>
    </w:p>
    <w:p>
      <w:pPr>
        <w:spacing w:before="80" w:after="160"/>
      </w:pPr>
      <w:r>
        <w:rPr>
          <w:rFonts w:ascii="Calibri" w:cs="Calibri" w:eastAsia="Calibri" w:hAnsi="Calibri"/>
          <w:color w:val="1A2340"/>
          <w:sz w:val="22"/>
          <w:szCs w:val="22"/>
        </w:rPr>
        <w:t xml:space="preserve">- Vervuilde of verkeerd ingestelde ventilatie: de mechanische afzuiging is vaak niet onderhouden. Dit kost energie en verslechtert de luchtkwaliteit merkbaar.</w:t>
      </w:r>
    </w:p>
    <w:p>
      <w:pPr>
        <w:spacing w:before="80" w:after="160"/>
      </w:pPr>
      <w:r>
        <w:rPr>
          <w:rFonts w:ascii="Calibri" w:cs="Calibri" w:eastAsia="Calibri" w:hAnsi="Calibri"/>
          <w:color w:val="1A2340"/>
          <w:sz w:val="22"/>
          <w:szCs w:val="22"/>
        </w:rPr>
        <w:t xml:space="preserve">- Sluipverbruik: sluipverbruik van apparatuur en inefficiënte instellingen van ventilatiesystemen zijn de grootste verliesposten — onzichtbaar maar structureel aanwezig op de energierekening.</w:t>
      </w:r>
    </w:p>
    <w:p>
      <w:pPr>
        <w:spacing w:before="120" w:after="120"/>
      </w:pPr>
    </w:p>
    <w:p>
      <w:pPr>
        <w:spacing w:before="80" w:after="160"/>
      </w:pPr>
      <w:r>
        <w:rPr>
          <w:rFonts w:ascii="Calibri" w:cs="Calibri" w:eastAsia="Calibri" w:hAnsi="Calibri"/>
          <w:color w:val="1A2340"/>
          <w:sz w:val="22"/>
          <w:szCs w:val="22"/>
        </w:rPr>
        <w:t xml:space="preserve">Laat de bevindingen bevestigen via een foto-inspectie of maatwerkadvies. Neem contact op met PandIQ voor een concrete vervolgstap: www.pandiq.nl</w:t>
      </w:r>
    </w:p>
    <w:p>
      <w:pPr>
        <w:pBdr>
          <w:bottom w:val="single" w:color="D0D8EC" w:sz="2" w:space="1"/>
        </w:pBdr>
        <w:spacing w:before="160" w:after="160"/>
      </w:pPr>
    </w:p>
    <w:p>
      <w:pPr>
        <w:pStyle w:val="Heading1"/>
        <w:pBdr>
          <w:bottom w:val="single" w:color="2E6BE6" w:sz="4" w:space="4"/>
        </w:pBdr>
        <w:spacing w:before="280" w:after="140"/>
      </w:pPr>
      <w:r>
        <w:rPr>
          <w:rFonts w:ascii="Calibri" w:cs="Calibri" w:eastAsia="Calibri" w:hAnsi="Calibri"/>
          <w:b/>
          <w:bCs/>
          <w:color w:val="0B1F3A"/>
          <w:sz w:val="28"/>
          <w:szCs w:val="28"/>
        </w:rPr>
        <w:t xml:space="preserve">5. Mogelijk relevante subsidies</w:t>
      </w:r>
    </w:p>
    <w:p>
      <w:pPr>
        <w:spacing w:before="80" w:after="160"/>
      </w:pPr>
      <w:r>
        <w:rPr>
          <w:rFonts w:ascii="Calibri" w:cs="Calibri" w:eastAsia="Calibri" w:hAnsi="Calibri"/>
          <w:color w:val="1A2340"/>
          <w:sz w:val="22"/>
          <w:szCs w:val="22"/>
        </w:rPr>
        <w:t xml:space="preserve">Op basis van de gegevens van uw woning zijn de volgende subsidies mogelijk relevant. Exacte bedragen en voorwaarden zijn afhankelijk van uw situatie en kunnen wijzigen.</w:t>
      </w:r>
    </w:p>
    <w:p>
      <w:pPr>
        <w:spacing w:before="120" w:after="120"/>
      </w:pPr>
    </w:p>
    <w:p>
      <w:pPr>
        <w:spacing w:before="80" w:after="160"/>
      </w:pPr>
      <w:r>
        <w:rPr>
          <w:rFonts w:ascii="Calibri" w:cs="Calibri" w:eastAsia="Calibri" w:hAnsi="Calibri"/>
          <w:color w:val="1A2340"/>
          <w:sz w:val="22"/>
          <w:szCs w:val="22"/>
        </w:rPr>
        <w:t xml:space="preserve">Specifiek voor woningen uit uw bouwperiode:</w:t>
      </w:r>
    </w:p>
    <w:p>
      <w:pPr>
        <w:spacing w:before="80" w:after="160"/>
      </w:pPr>
      <w:r>
        <w:rPr>
          <w:rFonts w:ascii="Calibri" w:cs="Calibri" w:eastAsia="Calibri" w:hAnsi="Calibri"/>
          <w:color w:val="1A2340"/>
          <w:sz w:val="22"/>
          <w:szCs w:val="22"/>
        </w:rPr>
        <w:t xml:space="preserve">- LTV-check: doe de 50-graden test om te zien of uw afgiftesysteem klaar is voor een volledige warmtepomp.</w:t>
      </w:r>
    </w:p>
    <w:p>
      <w:pPr>
        <w:spacing w:before="80" w:after="160"/>
      </w:pPr>
      <w:r>
        <w:rPr>
          <w:rFonts w:ascii="Calibri" w:cs="Calibri" w:eastAsia="Calibri" w:hAnsi="Calibri"/>
          <w:color w:val="1A2340"/>
          <w:sz w:val="22"/>
          <w:szCs w:val="22"/>
        </w:rPr>
        <w:t xml:space="preserve">- Warmtepomp via ISDE (2026): startbedrag € 1.025 + € 225 per kW vermogen. Extra bonus van € 200 voor toestellen met A+++ energielabel.</w:t>
      </w:r>
    </w:p>
    <w:p>
      <w:pPr>
        <w:spacing w:before="120" w:after="120"/>
      </w:pPr>
    </w:p>
    <w:p>
      <w:pPr>
        <w:spacing w:before="80" w:after="160"/>
      </w:pPr>
      <w:r>
        <w:rPr>
          <w:rFonts w:ascii="Calibri" w:cs="Calibri" w:eastAsia="Calibri" w:hAnsi="Calibri"/>
          <w:color w:val="1A2340"/>
          <w:sz w:val="22"/>
          <w:szCs w:val="22"/>
        </w:rPr>
        <w:t xml:space="preserve">Gemeentelijke subsidies: veel gemeenten bieden aanvullende regelingen voor isolatie of energieadvies. Raadpleeg uw gemeente of het Warmtefonds voor lokale mogelijkheden.</w:t>
      </w:r>
    </w:p>
    <w:p>
      <w:pPr>
        <w:spacing w:before="120" w:after="120"/>
      </w:pPr>
    </w:p>
    <w:p>
      <w:pPr>
        <w:spacing w:before="80" w:after="160"/>
      </w:pPr>
      <w:r>
        <w:rPr>
          <w:rFonts w:ascii="Calibri" w:cs="Calibri" w:eastAsia="Calibri" w:hAnsi="Calibri"/>
          <w:color w:val="1A2340"/>
          <w:sz w:val="22"/>
          <w:szCs w:val="22"/>
        </w:rPr>
        <w:t xml:space="preserve">Nationaal Warmtefonds: biedt leningen met lage rente voor woningeigenaren die willen verduurzamen maar de investering niet in één keer kunnen dragen.</w:t>
      </w:r>
    </w:p>
    <w:p>
      <w:pPr>
        <w:spacing w:before="120" w:after="120"/>
      </w:pPr>
    </w:p>
    <w:p>
      <w:pPr>
        <w:spacing w:before="80" w:after="160"/>
      </w:pPr>
      <w:r>
        <w:rPr>
          <w:rFonts w:ascii="Calibri" w:cs="Calibri" w:eastAsia="Calibri" w:hAnsi="Calibri"/>
          <w:color w:val="1A2340"/>
          <w:sz w:val="22"/>
          <w:szCs w:val="22"/>
        </w:rPr>
        <w:t xml:space="preserve">Dak, Gevel, Vloer en Glas — score 1/5 (Goed)</w:t>
      </w:r>
    </w:p>
    <w:p>
      <w:pPr>
        <w:spacing w:before="120" w:after="120"/>
      </w:pPr>
    </w:p>
    <w:p>
      <w:pPr>
        <w:spacing w:before="80" w:after="160"/>
      </w:pPr>
      <w:r>
        <w:rPr>
          <w:rFonts w:ascii="Calibri" w:cs="Calibri" w:eastAsia="Calibri" w:hAnsi="Calibri"/>
          <w:color w:val="1A2340"/>
          <w:sz w:val="22"/>
          <w:szCs w:val="22"/>
        </w:rPr>
        <w:t xml:space="preserve">Uw woning heeft een sterke basis: de weg naar gasloos wonen ligt open.</w:t>
      </w:r>
    </w:p>
    <w:p>
      <w:pPr>
        <w:spacing w:before="120" w:after="120"/>
      </w:pPr>
    </w:p>
    <w:p>
      <w:pPr>
        <w:spacing w:before="80" w:after="160"/>
      </w:pPr>
      <w:r>
        <w:rPr>
          <w:rFonts w:ascii="Calibri" w:cs="Calibri" w:eastAsia="Calibri" w:hAnsi="Calibri"/>
          <w:color w:val="1A2340"/>
          <w:sz w:val="22"/>
          <w:szCs w:val="22"/>
        </w:rPr>
        <w:t xml:space="preserve">Gefeliciteerd, uit de scan blijkt dat uw woning beschikt over een goede isolatieschil. Uw woning verliest relatief weinig warmte, wat zorgt voor een stabiel binnenklimaat en lagere energielasten.</w:t>
      </w:r>
    </w:p>
    <w:p>
      <w:pPr>
        <w:spacing w:before="120" w:after="120"/>
      </w:pPr>
    </w:p>
    <w:p>
      <w:pPr>
        <w:spacing w:before="80" w:after="160"/>
      </w:pPr>
      <w:r>
        <w:rPr>
          <w:rFonts w:ascii="Calibri" w:cs="Calibri" w:eastAsia="Calibri" w:hAnsi="Calibri"/>
          <w:color w:val="1A2340"/>
          <w:sz w:val="22"/>
          <w:szCs w:val="22"/>
        </w:rPr>
        <w:t xml:space="preserve">Waarom nu optimaliseren naar de Standaard?</w:t>
      </w:r>
    </w:p>
    <w:p>
      <w:pPr>
        <w:spacing w:before="80" w:after="160"/>
      </w:pPr>
      <w:r>
        <w:rPr>
          <w:rFonts w:ascii="Calibri" w:cs="Calibri" w:eastAsia="Calibri" w:hAnsi="Calibri"/>
          <w:color w:val="1A2340"/>
          <w:sz w:val="22"/>
          <w:szCs w:val="22"/>
        </w:rPr>
        <w:t xml:space="preserve">- Klaar voor gasloos: wanneer uw woning aan de Standaard voldoet, is deze officieel geschikt voor een volledige elektrische warmtepomp zonder ingrijpende aanpassingen.</w:t>
      </w:r>
    </w:p>
    <w:p>
      <w:pPr>
        <w:spacing w:before="80" w:after="160"/>
      </w:pPr>
      <w:r>
        <w:rPr>
          <w:rFonts w:ascii="Calibri" w:cs="Calibri" w:eastAsia="Calibri" w:hAnsi="Calibri"/>
          <w:color w:val="1A2340"/>
          <w:sz w:val="22"/>
          <w:szCs w:val="22"/>
        </w:rPr>
        <w:t xml:space="preserve">- Maximaal rendement: kleine upgrades zoals WTW-ventilatie of kierdichting halen het maximale rendement uit uw duurzame installaties.</w:t>
      </w:r>
    </w:p>
    <w:p>
      <w:pPr>
        <w:spacing w:before="80" w:after="160"/>
      </w:pPr>
      <w:r>
        <w:rPr>
          <w:rFonts w:ascii="Calibri" w:cs="Calibri" w:eastAsia="Calibri" w:hAnsi="Calibri"/>
          <w:color w:val="1A2340"/>
          <w:sz w:val="22"/>
          <w:szCs w:val="22"/>
        </w:rPr>
        <w:t xml:space="preserve">- Toekomstbestendige waarde: woningen die de stap van goed naar uitmuntend maken zijn het best voorbereid op veranderende wetgeving en stijgen in vastgoedwaarde.</w:t>
      </w:r>
    </w:p>
    <w:p>
      <w:pPr>
        <w:spacing w:before="120" w:after="120"/>
      </w:pPr>
    </w:p>
    <w:p>
      <w:pPr>
        <w:spacing w:before="80" w:after="160"/>
      </w:pPr>
      <w:r>
        <w:rPr>
          <w:rFonts w:ascii="Calibri" w:cs="Calibri" w:eastAsia="Calibri" w:hAnsi="Calibri"/>
          <w:color w:val="1A2340"/>
          <w:sz w:val="22"/>
          <w:szCs w:val="22"/>
        </w:rPr>
        <w:t xml:space="preserve">Overstappen naar gasloos met PandIQ: omdat uw woning al voldoende geïsoleerd is, kunt u nu serieus kijken naar gasloos wonen. Via de ISDE ontvangt u in 2026 een startbedrag van EUR 1.025 plus EUR 225 per kW vermogen. Voor toestellen met A+++ energielabel geldt een extra bonus van EUR 200.</w:t>
      </w:r>
    </w:p>
    <w:p>
      <w:pPr>
        <w:spacing w:before="120" w:after="120"/>
      </w:pPr>
    </w:p>
    <w:p>
      <w:pPr>
        <w:spacing w:before="80" w:after="160"/>
      </w:pPr>
      <w:r>
        <w:rPr>
          <w:rFonts w:ascii="Calibri" w:cs="Calibri" w:eastAsia="Calibri" w:hAnsi="Calibri"/>
          <w:color w:val="1A2340"/>
          <w:sz w:val="22"/>
          <w:szCs w:val="22"/>
        </w:rPr>
        <w:t xml:space="preserve">PandIQ helpt u bij de definitieve sprong naar een duurzame installatie: volledige subsidiecheck, aanvraagafhandeling en overzicht in uw persoonlijk dashboard.</w:t>
      </w:r>
    </w:p>
    <w:p>
      <w:pPr>
        <w:spacing w:before="120" w:after="120"/>
      </w:pPr>
    </w:p>
    <w:p>
      <w:pPr>
        <w:spacing w:before="80" w:after="160"/>
      </w:pPr>
      <w:r>
        <w:rPr>
          <w:rFonts w:ascii="Calibri" w:cs="Calibri" w:eastAsia="Calibri" w:hAnsi="Calibri"/>
          <w:color w:val="1A2340"/>
          <w:sz w:val="22"/>
          <w:szCs w:val="22"/>
        </w:rPr>
        <w:t xml:space="preserve">Bereken uw subsidie op maat via de PandIQ subsidietool: www.pandiq.nl/subsidie</w:t>
      </w:r>
    </w:p>
    <w:p>
      <w:pPr>
        <w:pBdr>
          <w:bottom w:val="single" w:color="D0D8EC" w:sz="2" w:space="1"/>
        </w:pBdr>
        <w:spacing w:before="160" w:after="160"/>
      </w:pPr>
    </w:p>
    <w:p>
      <w:pPr>
        <w:pStyle w:val="Heading1"/>
        <w:pBdr>
          <w:bottom w:val="single" w:color="2E6BE6" w:sz="4" w:space="4"/>
        </w:pBdr>
        <w:spacing w:before="280" w:after="140"/>
      </w:pPr>
      <w:r>
        <w:rPr>
          <w:rFonts w:ascii="Calibri" w:cs="Calibri" w:eastAsia="Calibri" w:hAnsi="Calibri"/>
          <w:b/>
          <w:bCs/>
          <w:color w:val="0B1F3A"/>
          <w:sz w:val="28"/>
          <w:szCs w:val="28"/>
        </w:rPr>
        <w:t xml:space="preserve">6. Vervolgstappen</w:t>
      </w:r>
    </w:p>
    <w:p>
      <w:pPr>
        <w:pStyle w:val="ListParagraph"/>
        <w:numPr>
          <w:ilvl w:val="0"/>
          <w:numId w:val="2"/>
        </w:numPr>
        <w:spacing w:before="60" w:after="60"/>
      </w:pPr>
      <w:r>
        <w:rPr>
          <w:rFonts w:ascii="Calibri" w:cs="Calibri" w:eastAsia="Calibri" w:hAnsi="Calibri"/>
          <w:color w:val="1A2340"/>
          <w:sz w:val="22"/>
          <w:szCs w:val="22"/>
        </w:rPr>
        <w:t xml:space="preserve">Upload foto’s van dak, gevel, glas, installaties en kruipruimte</w:t>
      </w:r>
    </w:p>
    <w:p>
      <w:pPr>
        <w:pStyle w:val="ListParagraph"/>
        <w:numPr>
          <w:ilvl w:val="0"/>
          <w:numId w:val="2"/>
        </w:numPr>
        <w:spacing w:before="60" w:after="60"/>
      </w:pPr>
      <w:r>
        <w:rPr>
          <w:rFonts w:ascii="Calibri" w:cs="Calibri" w:eastAsia="Calibri" w:hAnsi="Calibri"/>
          <w:color w:val="1A2340"/>
          <w:sz w:val="22"/>
          <w:szCs w:val="22"/>
        </w:rPr>
        <w:t xml:space="preserve">Bevestig woningtype en eventuele renovatiejaren</w:t>
      </w:r>
    </w:p>
    <w:p>
      <w:pPr>
        <w:pStyle w:val="ListParagraph"/>
        <w:numPr>
          <w:ilvl w:val="0"/>
          <w:numId w:val="2"/>
        </w:numPr>
        <w:spacing w:before="60" w:after="60"/>
      </w:pPr>
      <w:r>
        <w:rPr>
          <w:rFonts w:ascii="Calibri" w:cs="Calibri" w:eastAsia="Calibri" w:hAnsi="Calibri"/>
          <w:color w:val="1A2340"/>
          <w:sz w:val="22"/>
          <w:szCs w:val="22"/>
        </w:rPr>
        <w:t xml:space="preserve">Gebruik dit rapport als basis voor offerte- of adviesgesprekken</w:t>
      </w:r>
    </w:p>
    <w:p>
      <w:pPr>
        <w:spacing w:before="320" w:after="80"/>
      </w:pPr>
    </w:p>
    <w:p>
      <w:pPr>
        <w:pBdr>
          <w:left w:val="single" w:color="2E6BE6" w:sz="12" w:space="4"/>
        </w:pBdr>
        <w:shd w:fill="F4F6FA" w:val="clear"/>
        <w:spacing w:before="80" w:after="0"/>
        <w:ind w:left="200"/>
      </w:pPr>
      <w:r>
        <w:rPr>
          <w:rFonts w:ascii="Calibri" w:cs="Calibri" w:eastAsia="Calibri" w:hAnsi="Calibri"/>
          <w:i/>
          <w:iCs/>
          <w:color w:val="5A6A85"/>
          <w:sz w:val="18"/>
          <w:szCs w:val="18"/>
        </w:rPr>
        <w:t xml:space="preserve">Disclaimer: dit rapport is indicatief en gebaseerd op registraties en aannames. Aan dit document kunnen geen rechten worden ontleend. Uitvoering vereist altijd verificatie op locatie en controle van actuele regelgeving.</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0D8EC" w:sz="2" w:space="4"/>
      </w:pBdr>
      <w:tabs>
        <w:tab w:val="right" w:pos="9026"/>
      </w:tabs>
      <w:spacing w:before="80"/>
    </w:pPr>
    <w:r>
      <w:rPr>
        <w:rFonts w:ascii="Calibri" w:cs="Calibri" w:eastAsia="Calibri" w:hAnsi="Calibri"/>
        <w:color w:val="5A6A85"/>
        <w:sz w:val="16"/>
        <w:szCs w:val="16"/>
      </w:rPr>
      <w:t xml:space="preserve">Indicatief rapport · PandIQ · www.pandiq.nl</w:t>
    </w:r>
    <w:r>
      <w:rPr>
        <w:rFonts w:ascii="Calibri" w:cs="Calibri" w:eastAsia="Calibri" w:hAnsi="Calibri"/>
        <w:color w:val="5A6A85"/>
        <w:sz w:val="16"/>
        <w:szCs w:val="16"/>
      </w:rPr>
      <w:t xml:space="preserve">	Pagina </w:t>
    </w:r>
    <w:r>
      <w:rPr>
        <w:rFonts w:ascii="Calibri" w:cs="Calibri" w:eastAsia="Calibri" w:hAnsi="Calibri"/>
        <w:color w:val="5A6A85"/>
        <w:sz w:val="16"/>
        <w:szCs w:val="16"/>
      </w:rP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026"/>
      <w:tblBorders>
        <w:top w:val="none" w:color="FFFFFF" w:sz="0"/>
        <w:left w:val="none" w:color="FFFFFF" w:sz="0"/>
        <w:bottom w:val="single" w:color="2E6BE6" w:sz="4"/>
        <w:right w:val="none" w:color="FFFFFF" w:sz="0"/>
        <w:insideH w:val="single" w:color="auto" w:sz="4"/>
        <w:insideV w:val="single" w:color="auto" w:sz="4"/>
      </w:tblBorders>
    </w:tblPr>
    <w:tblGrid>
      <w:gridCol w:w="4513"/>
      <w:gridCol w:w="4513"/>
    </w:tblGrid>
    <w:tr>
      <w:tc>
        <w:tcPr>
          <w:tcW w:type="dxa" w:w="4513"/>
          <w:tcBorders>
            <w:top w:val="none" w:color="FFFFFF" w:sz="0"/>
            <w:left w:val="none" w:color="FFFFFF" w:sz="0"/>
            <w:bottom w:val="none" w:color="FFFFFF" w:sz="0"/>
            <w:right w:val="none" w:color="FFFFFF" w:sz="0"/>
          </w:tcBorders>
          <w:vAlign w:val="center"/>
        </w:tcPr>
        <w:p>
          <w:r>
            <w:rPr>
              <w:rFonts w:ascii="Georgia" w:cs="Georgia" w:eastAsia="Georgia" w:hAnsi="Georgia"/>
              <w:b/>
              <w:bCs/>
              <w:color w:val="0B1F3A"/>
              <w:sz w:val="28"/>
              <w:szCs w:val="28"/>
            </w:rPr>
            <w:t xml:space="preserve">Pand</w:t>
          </w:r>
          <w:r>
            <w:rPr>
              <w:rFonts w:ascii="Georgia" w:cs="Georgia" w:eastAsia="Georgia" w:hAnsi="Georgia"/>
              <w:b/>
              <w:bCs/>
              <w:color w:val="3DBDBD"/>
              <w:sz w:val="28"/>
              <w:szCs w:val="28"/>
            </w:rPr>
            <w:t xml:space="preserve">IQ</w:t>
          </w:r>
        </w:p>
      </w:tc>
      <w:tc>
        <w:tcPr>
          <w:tcW w:type="dxa" w:w="4513"/>
          <w:tcBorders>
            <w:top w:val="none" w:color="FFFFFF" w:sz="0"/>
            <w:left w:val="none" w:color="FFFFFF" w:sz="0"/>
            <w:bottom w:val="none" w:color="FFFFFF" w:sz="0"/>
            <w:right w:val="none" w:color="FFFFFF" w:sz="0"/>
          </w:tcBorders>
          <w:vAlign w:val="center"/>
        </w:tcPr>
        <w:p>
          <w:pPr>
            <w:jc w:val="right"/>
          </w:pPr>
          <w:r>
            <w:rPr>
              <w:rFonts w:ascii="Calibri" w:cs="Calibri" w:eastAsia="Calibri" w:hAnsi="Calibri"/>
              <w:color w:val="5A6A85"/>
              <w:sz w:val="18"/>
              <w:szCs w:val="18"/>
            </w:rPr>
            <w:t xml:space="preserve">Isolatie Quickscan</w:t>
          </w:r>
        </w:p>
      </w:tc>
    </w:tr>
  </w:tbl>
  <w:p>
    <w:pPr>
      <w:spacing w:before="60" w:after="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80" w:after="140"/>
      <w:outlineLvl w:val="0"/>
    </w:pPr>
    <w:rPr>
      <w:rFonts w:ascii="Calibri" w:cs="Calibri" w:eastAsia="Calibri" w:hAnsi="Calibri"/>
      <w:b/>
      <w:bCs/>
      <w:color w:val="0B1F3A"/>
      <w:sz w:val="28"/>
      <w:szCs w:val="28"/>
    </w:rPr>
  </w:style>
  <w:style w:type="paragraph" w:styleId="Heading2">
    <w:name w:val="Heading 2"/>
    <w:basedOn w:val="Normal"/>
    <w:next w:val="Normal"/>
    <w:qFormat/>
    <w:pPr>
      <w:spacing w:before="160" w:after="80"/>
      <w:outlineLvl w:val="1"/>
    </w:pPr>
    <w:rPr>
      <w:rFonts w:ascii="Calibri" w:cs="Calibri" w:eastAsia="Calibri" w:hAnsi="Calibri"/>
      <w:b/>
      <w:bCs/>
      <w:color w:val="2E6BE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2026-03-19T12:48:27.386Z</dcterms:created>
  <dcterms:modified xsi:type="dcterms:W3CDTF">2026-03-19T12:48:27.387Z</dcterms:modified>
</cp:coreProperties>
</file>

<file path=docProps/custom.xml><?xml version="1.0" encoding="utf-8"?>
<Properties xmlns="http://schemas.openxmlformats.org/officeDocument/2006/custom-properties" xmlns:vt="http://schemas.openxmlformats.org/officeDocument/2006/docPropsVTypes"/>
</file>