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 w:after="200"/>
      </w:pPr>
      <w:r>
        <w:rPr>
          <w:rFonts w:ascii="Georgia" w:cs="Georgia" w:eastAsia="Georgia" w:hAnsi="Georgia"/>
          <w:b/>
          <w:bCs/>
          <w:color w:val="0B1F3A"/>
          <w:sz w:val="72"/>
          <w:szCs w:val="72"/>
        </w:rPr>
        <w:t xml:space="preserve">Pand</w:t>
      </w:r>
      <w:r>
        <w:rPr>
          <w:rFonts w:ascii="Georgia" w:cs="Georgia" w:eastAsia="Georgia" w:hAnsi="Georgia"/>
          <w:b/>
          <w:bCs/>
          <w:color w:val="3DBDBD"/>
          <w:sz w:val="72"/>
          <w:szCs w:val="72"/>
        </w:rPr>
        <w:t xml:space="preserve">IQ</w:t>
      </w:r>
    </w:p>
    <w:p>
      <w:pPr>
        <w:spacing w:before="0" w:after="480"/>
      </w:pPr>
      <w:r>
        <w:rPr>
          <w:rFonts w:ascii="Calibri" w:cs="Calibri" w:eastAsia="Calibri" w:hAnsi="Calibri"/>
          <w:color w:val="5A6A85"/>
          <w:sz w:val="20"/>
          <w:szCs w:val="20"/>
        </w:rPr>
        <w:t xml:space="preserve">www.PandIQ.nl</w:t>
      </w:r>
    </w:p>
    <w:p>
      <w:pPr>
        <w:pBdr>
          <w:bottom w:val="single" w:color="2E6BE6" w:sz="12" w:space="1"/>
        </w:pBdr>
        <w:spacing w:before="0" w:after="480"/>
      </w:pPr>
    </w:p>
    <w:p>
      <w:pPr>
        <w:spacing w:before="480" w:after="120"/>
      </w:pPr>
      <w:r>
        <w:rPr>
          <w:rFonts w:ascii="Georgia" w:cs="Georgia" w:eastAsia="Georgia" w:hAnsi="Georgia"/>
          <w:b/>
          <w:bCs/>
          <w:color w:val="0B1F3A"/>
          <w:sz w:val="64"/>
          <w:szCs w:val="64"/>
        </w:rPr>
        <w:t xml:space="preserve">Advies verduurzaming</w:t>
      </w:r>
    </w:p>
    <w:p>
      <w:pPr>
        <w:spacing w:before="0" w:after="480"/>
      </w:pPr>
      <w:r>
        <w:rPr>
          <w:rFonts w:ascii="Calibri" w:cs="Calibri" w:eastAsia="Calibri" w:hAnsi="Calibri"/>
          <w:color w:val="5A6A85"/>
          <w:sz w:val="32"/>
          <w:szCs w:val="32"/>
        </w:rPr>
        <w:t xml:space="preserve">Isolatie Quickscan</w:t>
      </w:r>
    </w:p>
    <w:p>
      <w:pPr>
        <w:spacing w:before="0" w:after="120"/>
      </w:pPr>
      <w:r>
        <w:rPr>
          <w:rFonts w:ascii="Calibri" w:cs="Calibri" w:eastAsia="Calibri" w:hAnsi="Calibri"/>
          <w:b/>
          <w:bCs/>
          <w:color w:val="0B1F3A"/>
          <w:sz w:val="24"/>
          <w:szCs w:val="24"/>
        </w:rPr>
        <w:t xml:space="preserve">Adres:  </w:t>
      </w:r>
      <w:r>
        <w:rPr>
          <w:rFonts w:ascii="Calibri" w:cs="Calibri" w:eastAsia="Calibri" w:hAnsi="Calibri"/>
          <w:color w:val="1A2340"/>
          <w:sz w:val="22"/>
          <w:szCs w:val="22"/>
        </w:rPr>
        <w:t xml:space="preserve">{{adres}}</w:t>
      </w:r>
    </w:p>
    <w:p>
      <w:pPr>
        <w:spacing w:before="0" w:after="240"/>
      </w:pPr>
      <w:r>
        <w:rPr>
          <w:rFonts w:ascii="Calibri" w:cs="Calibri" w:eastAsia="Calibri" w:hAnsi="Calibri"/>
          <w:b/>
          <w:bCs/>
          <w:color w:val="0B1F3A"/>
          <w:sz w:val="24"/>
          <w:szCs w:val="24"/>
        </w:rPr>
        <w:t xml:space="preserve">Datum:  </w:t>
      </w:r>
      <w:r>
        <w:rPr>
          <w:rFonts w:ascii="Calibri" w:cs="Calibri" w:eastAsia="Calibri" w:hAnsi="Calibri"/>
          <w:color w:val="1A2340"/>
          <w:sz w:val="22"/>
          <w:szCs w:val="22"/>
        </w:rPr>
        <w:t xml:space="preserve">{{datum}}</w:t>
      </w:r>
    </w:p>
    <w:p>
      <w:pPr>
        <w:spacing w:before="0" w:after="160"/>
      </w:pPr>
      <w:r>
        <w:rPr>
          <w:rFonts w:ascii="Calibri" w:cs="Calibri" w:eastAsia="Calibri" w:hAnsi="Calibri"/>
          <w:i/>
          <w:iCs/>
          <w:color w:val="5A6A85"/>
          <w:sz w:val="18"/>
          <w:szCs w:val="18"/>
        </w:rPr>
        <w:t xml:space="preserve">Indicatief rapport op basis van openbare registraties (BAG &amp; EP-Online)</w:t>
      </w:r>
    </w:p>
    <w:p>
      <w:pPr>
        <w:spacing w:before="160" w:after="160"/>
      </w:pPr>
      <w:r>
        <w:rPr>
          <w:rFonts w:ascii="Calibri" w:cs="Calibri" w:eastAsia="Calibri" w:hAnsi="Calibri"/>
          <w:color w:val="FFFFFF"/>
          <w:sz w:val="22"/>
          <w:szCs w:val="22"/>
        </w:rPr>
        <w:t xml:space="preserve">{{streetview}}</w:t>
      </w:r>
    </w:p>
    <w:p>
      <w:r>
        <w:br w:type="page"/>
      </w:r>
    </w:p>
    <w:p>
      <w:pPr>
        <w:pStyle w:val="Heading1"/>
        <w:pBdr>
          <w:bottom w:val="single" w:color="2E6BE6" w:sz="4" w:space="4"/>
        </w:pBdr>
        <w:spacing w:before="280" w:after="140"/>
      </w:pPr>
      <w:r>
        <w:rPr>
          <w:rFonts w:ascii="Calibri" w:cs="Calibri" w:eastAsia="Calibri" w:hAnsi="Calibri"/>
          <w:b/>
          <w:bCs/>
          <w:color w:val="0B1F3A"/>
          <w:sz w:val="28"/>
          <w:szCs w:val="28"/>
        </w:rPr>
        <w:t xml:space="preserve">1. Woninggegevens</w:t>
      </w:r>
    </w:p>
    <w:p>
      <w:pPr>
        <w:spacing w:before="60"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A85"/>
          <w:sz w:val="22"/>
          <w:szCs w:val="22"/>
        </w:rPr>
        <w:t xml:space="preserve">Onderstaande gegevens zijn afkomstig uit de Basisregistratie Adressen en Gebouwen (BAG) en de landelijke energielabelregistratie EP-Online.</w:t>
      </w:r>
    </w:p>
    <w:p>
      <w:pPr>
        <w:spacing w:before="120" w:after="120"/>
      </w:pPr>
    </w:p>
    <w:tbl>
      <w:tblPr>
        <w:tblW w:type="dxa" w:w="9026"/>
        <w:tblBorders>
          <w:top w:val="single" w:color="D0D8EC" w:sz="1"/>
          <w:left w:val="single" w:color="D0D8EC" w:sz="1"/>
          <w:bottom w:val="single" w:color="D0D8EC" w:sz="1"/>
          <w:right w:val="single" w:color="D0D8EC" w:sz="1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Adres</w:t>
            </w:r>
          </w:p>
        </w:tc>
        <w:tc>
          <w:tcPr>
            <w:tcW w:type="dxa" w:w="5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2"/>
                <w:szCs w:val="22"/>
              </w:rPr>
              <w:t xml:space="preserve">{{adres}}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Datum rapport</w:t>
            </w:r>
          </w:p>
        </w:tc>
        <w:tc>
          <w:tcPr>
            <w:tcW w:type="dxa" w:w="5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2"/>
                <w:szCs w:val="22"/>
              </w:rPr>
              <w:t xml:space="preserve">{{datum}}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Bouwjaar</w:t>
            </w:r>
          </w:p>
        </w:tc>
        <w:tc>
          <w:tcPr>
            <w:tcW w:type="dxa" w:w="5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2"/>
                <w:szCs w:val="22"/>
              </w:rPr>
              <w:t xml:space="preserve">{{bouwjaar}}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Bouwperiode</w:t>
            </w:r>
          </w:p>
        </w:tc>
        <w:tc>
          <w:tcPr>
            <w:tcW w:type="dxa" w:w="5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2"/>
                <w:szCs w:val="22"/>
              </w:rPr>
              <w:t xml:space="preserve">{{bouwperiode}}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Gebruiksoppervlakte</w:t>
            </w:r>
          </w:p>
        </w:tc>
        <w:tc>
          <w:tcPr>
            <w:tcW w:type="dxa" w:w="5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2"/>
                <w:szCs w:val="22"/>
              </w:rPr>
              <w:t xml:space="preserve">{{oppervlakte}}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Energielabel</w:t>
            </w:r>
          </w:p>
        </w:tc>
        <w:tc>
          <w:tcPr>
            <w:tcW w:type="dxa" w:w="5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2"/>
                <w:szCs w:val="22"/>
              </w:rPr>
              <w:t xml:space="preserve">{{energielabel}}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Registratiedatum</w:t>
            </w:r>
          </w:p>
        </w:tc>
        <w:tc>
          <w:tcPr>
            <w:tcW w:type="dxa" w:w="5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2"/>
                <w:szCs w:val="22"/>
              </w:rPr>
              <w:t xml:space="preserve">{{registratiedatum}}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Geldig tot</w:t>
            </w:r>
          </w:p>
        </w:tc>
        <w:tc>
          <w:tcPr>
            <w:tcW w:type="dxa" w:w="5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2"/>
                <w:szCs w:val="22"/>
              </w:rPr>
              <w:t xml:space="preserve">{{geldig_tot}}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Energiebehoefte</w:t>
            </w:r>
          </w:p>
        </w:tc>
        <w:tc>
          <w:tcPr>
            <w:tcW w:type="dxa" w:w="5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2"/>
                <w:szCs w:val="22"/>
              </w:rPr>
              <w:t xml:space="preserve">{{energiebehoefte}}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Warmtebehoefte</w:t>
            </w:r>
          </w:p>
        </w:tc>
        <w:tc>
          <w:tcPr>
            <w:tcW w:type="dxa" w:w="5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2"/>
                <w:szCs w:val="22"/>
              </w:rPr>
              <w:t xml:space="preserve">{{warmtebehoefte}}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Woningtype</w:t>
            </w:r>
          </w:p>
        </w:tc>
        <w:tc>
          <w:tcPr>
            <w:tcW w:type="dxa" w:w="5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2"/>
                <w:szCs w:val="22"/>
              </w:rPr>
              <w:t xml:space="preserve">{{gebouwtype}}</w:t>
            </w:r>
          </w:p>
        </w:tc>
      </w:tr>
    </w:tbl>
    <w:p>
      <w:pPr>
        <w:spacing w:before="80" w:after="0"/>
      </w:pPr>
    </w:p>
    <w:p>
      <w:pPr>
        <w:spacing w:before="60" w:after="60"/>
      </w:pPr>
      <w:r>
        <w:rPr>
          <w:rFonts w:ascii="Calibri" w:cs="Calibri" w:eastAsia="Calibri" w:hAnsi="Calibri"/>
          <w:b w:val="false"/>
          <w:bCs w:val="false"/>
          <w:i/>
          <w:iCs/>
          <w:color w:val="5A6A85"/>
          <w:sz w:val="22"/>
          <w:szCs w:val="22"/>
        </w:rPr>
        <w:t xml:space="preserve">Bron: Basisregistratie Adressen en Gebouwen (BAG/PDOK) en landelijke energielabelregistratie EP-Online.</w:t>
      </w:r>
    </w:p>
    <w:p>
      <w:pPr>
        <w:spacing w:before="240" w:after="0"/>
      </w:pPr>
    </w:p>
    <w:p>
      <w:pPr>
        <w:pStyle w:val="Heading1"/>
        <w:pBdr>
          <w:bottom w:val="single" w:color="2E6BE6" w:sz="4" w:space="4"/>
        </w:pBdr>
        <w:spacing w:before="280" w:after="140"/>
      </w:pPr>
      <w:r>
        <w:rPr>
          <w:rFonts w:ascii="Calibri" w:cs="Calibri" w:eastAsia="Calibri" w:hAnsi="Calibri"/>
          <w:b/>
          <w:bCs/>
          <w:color w:val="0B1F3A"/>
          <w:sz w:val="28"/>
          <w:szCs w:val="28"/>
        </w:rPr>
        <w:t xml:space="preserve">Kenmerken van deze bouwperiode</w:t>
      </w:r>
    </w:p>
    <w:p>
      <w:pPr>
        <w:spacing w:before="80" w:after="160"/>
      </w:pPr>
      <w:r>
        <w:rPr>
          <w:rFonts w:ascii="Calibri" w:cs="Calibri" w:eastAsia="Calibri" w:hAnsi="Calibri"/>
          <w:color w:val="1A2340"/>
          <w:sz w:val="22"/>
          <w:szCs w:val="22"/>
        </w:rPr>
        <w:t xml:space="preserve">{{narrative_bouwperiode}}</w:t>
      </w:r>
    </w:p>
    <w:p>
      <w:r>
        <w:br w:type="page"/>
      </w:r>
    </w:p>
    <w:p>
      <w:pPr>
        <w:pStyle w:val="Heading1"/>
        <w:pBdr>
          <w:bottom w:val="single" w:color="2E6BE6" w:sz="4" w:space="4"/>
        </w:pBdr>
        <w:spacing w:before="280" w:after="140"/>
      </w:pPr>
      <w:r>
        <w:rPr>
          <w:rFonts w:ascii="Calibri" w:cs="Calibri" w:eastAsia="Calibri" w:hAnsi="Calibri"/>
          <w:b/>
          <w:bCs/>
          <w:color w:val="0B1F3A"/>
          <w:sz w:val="28"/>
          <w:szCs w:val="28"/>
        </w:rPr>
        <w:t xml:space="preserve">2. Interpretatie en context</w:t>
      </w:r>
    </w:p>
    <w:p>
      <w:pPr>
        <w:spacing w:before="160" w:after="80"/>
      </w:pPr>
      <w:r>
        <w:rPr>
          <w:rFonts w:ascii="Calibri" w:cs="Calibri" w:eastAsia="Calibri" w:hAnsi="Calibri"/>
          <w:b/>
          <w:bCs/>
          <w:color w:val="2E6BE6"/>
          <w:sz w:val="22"/>
          <w:szCs w:val="22"/>
        </w:rPr>
        <w:t xml:space="preserve">Gebouwprofiel</w:t>
      </w:r>
    </w:p>
    <w:p>
      <w:pPr>
        <w:spacing w:before="60" w:after="160"/>
      </w:pPr>
      <w:r>
        <w:rPr>
          <w:rFonts w:ascii="Calibri" w:cs="Calibri" w:eastAsia="Calibri" w:hAnsi="Calibri"/>
          <w:color w:val="1A2340"/>
          <w:sz w:val="22"/>
          <w:szCs w:val="22"/>
        </w:rPr>
        <w:t xml:space="preserve">{{narrative_gebouw}}</w:t>
      </w:r>
    </w:p>
    <w:p>
      <w:pPr>
        <w:pBdr>
          <w:bottom w:val="single" w:color="D0D8EC" w:sz="2" w:space="1"/>
        </w:pBdr>
        <w:spacing w:before="160" w:after="160"/>
      </w:pPr>
    </w:p>
    <w:p>
      <w:pPr>
        <w:spacing w:before="160" w:after="80"/>
      </w:pPr>
      <w:r>
        <w:rPr>
          <w:rFonts w:ascii="Calibri" w:cs="Calibri" w:eastAsia="Calibri" w:hAnsi="Calibri"/>
          <w:b/>
          <w:bCs/>
          <w:color w:val="2E6BE6"/>
          <w:sz w:val="22"/>
          <w:szCs w:val="22"/>
        </w:rPr>
        <w:t xml:space="preserve">Energieprestatie</w:t>
      </w:r>
    </w:p>
    <w:p>
      <w:pPr>
        <w:spacing w:before="60" w:after="160"/>
      </w:pPr>
      <w:r>
        <w:rPr>
          <w:rFonts w:ascii="Calibri" w:cs="Calibri" w:eastAsia="Calibri" w:hAnsi="Calibri"/>
          <w:color w:val="1A2340"/>
          <w:sz w:val="22"/>
          <w:szCs w:val="22"/>
        </w:rPr>
        <w:t xml:space="preserve">{{narrative_energie}}</w:t>
      </w:r>
    </w:p>
    <w:p>
      <w:pPr>
        <w:pBdr>
          <w:bottom w:val="single" w:color="D0D8EC" w:sz="2" w:space="1"/>
        </w:pBdr>
        <w:spacing w:before="160" w:after="160"/>
      </w:pPr>
    </w:p>
    <w:p>
      <w:pPr>
        <w:spacing w:before="160" w:after="80"/>
      </w:pPr>
      <w:r>
        <w:rPr>
          <w:rFonts w:ascii="Calibri" w:cs="Calibri" w:eastAsia="Calibri" w:hAnsi="Calibri"/>
          <w:b/>
          <w:bCs/>
          <w:color w:val="2E6BE6"/>
          <w:sz w:val="22"/>
          <w:szCs w:val="22"/>
        </w:rPr>
        <w:t xml:space="preserve">Aanpak</w:t>
      </w:r>
    </w:p>
    <w:p>
      <w:pPr>
        <w:spacing w:before="60" w:after="160"/>
      </w:pPr>
      <w:r>
        <w:rPr>
          <w:rFonts w:ascii="Calibri" w:cs="Calibri" w:eastAsia="Calibri" w:hAnsi="Calibri"/>
          <w:color w:val="1A2340"/>
          <w:sz w:val="22"/>
          <w:szCs w:val="22"/>
        </w:rPr>
        <w:t xml:space="preserve">{{narrative_aanpak}}</w:t>
      </w:r>
    </w:p>
    <w:p>
      <w:r>
        <w:br w:type="page"/>
      </w:r>
    </w:p>
    <w:p>
      <w:pPr>
        <w:pStyle w:val="Heading1"/>
        <w:pBdr>
          <w:bottom w:val="single" w:color="2E6BE6" w:sz="4" w:space="4"/>
        </w:pBdr>
        <w:spacing w:before="280" w:after="140"/>
      </w:pPr>
      <w:r>
        <w:rPr>
          <w:rFonts w:ascii="Calibri" w:cs="Calibri" w:eastAsia="Calibri" w:hAnsi="Calibri"/>
          <w:b/>
          <w:bCs/>
          <w:color w:val="0B1F3A"/>
          <w:sz w:val="28"/>
          <w:szCs w:val="28"/>
        </w:rPr>
        <w:t xml:space="preserve">3. Kansen en verbeterpotentieel</w:t>
      </w:r>
    </w:p>
    <w:p>
      <w:pPr>
        <w:spacing w:before="60"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A85"/>
          <w:sz w:val="22"/>
          <w:szCs w:val="22"/>
        </w:rPr>
        <w:t xml:space="preserve">Een lage score betekent niet dat geen actie mogelijk is, maar dat het rendement ten opzichte van de investering doorgaans beperkter is.</w:t>
      </w:r>
    </w:p>
    <w:p>
      <w:pPr>
        <w:spacing w:before="120" w:after="120"/>
      </w:pPr>
    </w:p>
    <w:tbl>
      <w:tblPr>
        <w:tblW w:type="dxa" w:w="9026"/>
        <w:tblBorders>
          <w:top w:val="single" w:color="D0D8EC" w:sz="1"/>
          <w:left w:val="single" w:color="D0D8EC" w:sz="1"/>
          <w:bottom w:val="single" w:color="D0D8EC" w:sz="1"/>
          <w:right w:val="single" w:color="D0D8EC" w:sz="1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Onderdeel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Score</w:t>
            </w:r>
          </w:p>
        </w:tc>
        <w:tc>
          <w:tcPr>
            <w:tcW w:type="dxa" w:w="5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Beoordeling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0"/>
                <w:szCs w:val="20"/>
              </w:rPr>
              <w:t xml:space="preserve">Dak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2"/>
                <w:szCs w:val="22"/>
              </w:rPr>
              <w:t xml:space="preserve">{{score_dak}}</w:t>
            </w:r>
            <w:r>
              <w:rPr>
                <w:rFonts w:ascii="Calibri" w:cs="Calibri" w:eastAsia="Calibri" w:hAnsi="Calibri"/>
                <w:color w:val="5A6A85"/>
                <w:sz w:val="20"/>
                <w:szCs w:val="20"/>
              </w:rPr>
              <w:t xml:space="preserve">/5</w:t>
            </w:r>
          </w:p>
        </w:tc>
        <w:tc>
          <w:tcPr>
            <w:tcW w:type="dxa" w:w="5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2"/>
                <w:szCs w:val="22"/>
              </w:rPr>
              <w:t xml:space="preserve">{{score_dak_tekst}}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0"/>
                <w:szCs w:val="20"/>
              </w:rPr>
              <w:t xml:space="preserve">Gevel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2"/>
                <w:szCs w:val="22"/>
              </w:rPr>
              <w:t xml:space="preserve">{{score_gevel}}</w:t>
            </w:r>
            <w:r>
              <w:rPr>
                <w:rFonts w:ascii="Calibri" w:cs="Calibri" w:eastAsia="Calibri" w:hAnsi="Calibri"/>
                <w:color w:val="5A6A85"/>
                <w:sz w:val="20"/>
                <w:szCs w:val="20"/>
              </w:rPr>
              <w:t xml:space="preserve">/5</w:t>
            </w:r>
          </w:p>
        </w:tc>
        <w:tc>
          <w:tcPr>
            <w:tcW w:type="dxa" w:w="5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2"/>
                <w:szCs w:val="22"/>
              </w:rPr>
              <w:t xml:space="preserve">{{score_gevel_tekst}}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0"/>
                <w:szCs w:val="20"/>
              </w:rPr>
              <w:t xml:space="preserve">Vloer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2"/>
                <w:szCs w:val="22"/>
              </w:rPr>
              <w:t xml:space="preserve">{{score_vloer}}</w:t>
            </w:r>
            <w:r>
              <w:rPr>
                <w:rFonts w:ascii="Calibri" w:cs="Calibri" w:eastAsia="Calibri" w:hAnsi="Calibri"/>
                <w:color w:val="5A6A85"/>
                <w:sz w:val="20"/>
                <w:szCs w:val="20"/>
              </w:rPr>
              <w:t xml:space="preserve">/5</w:t>
            </w:r>
          </w:p>
        </w:tc>
        <w:tc>
          <w:tcPr>
            <w:tcW w:type="dxa" w:w="5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2"/>
                <w:szCs w:val="22"/>
              </w:rPr>
              <w:t xml:space="preserve">{{score_vloer_tekst}}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0"/>
                <w:szCs w:val="20"/>
              </w:rPr>
              <w:t xml:space="preserve">Glas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2"/>
                <w:szCs w:val="22"/>
              </w:rPr>
              <w:t xml:space="preserve">{{score_glas}}</w:t>
            </w:r>
            <w:r>
              <w:rPr>
                <w:rFonts w:ascii="Calibri" w:cs="Calibri" w:eastAsia="Calibri" w:hAnsi="Calibri"/>
                <w:color w:val="5A6A85"/>
                <w:sz w:val="20"/>
                <w:szCs w:val="20"/>
              </w:rPr>
              <w:t xml:space="preserve">/5</w:t>
            </w:r>
          </w:p>
        </w:tc>
        <w:tc>
          <w:tcPr>
            <w:tcW w:type="dxa" w:w="5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2340"/>
                <w:sz w:val="22"/>
                <w:szCs w:val="22"/>
              </w:rPr>
              <w:t xml:space="preserve">{{score_glas_tekst}}</w:t>
            </w:r>
          </w:p>
        </w:tc>
      </w:tr>
    </w:tbl>
    <w:p>
      <w:pPr>
        <w:spacing w:before="240" w:after="0"/>
      </w:pPr>
    </w:p>
    <w:p>
      <w:pPr>
        <w:pStyle w:val="Heading1"/>
        <w:pBdr>
          <w:bottom w:val="single" w:color="2E6BE6" w:sz="4" w:space="4"/>
        </w:pBdr>
        <w:spacing w:before="280" w:after="140"/>
      </w:pPr>
      <w:r>
        <w:rPr>
          <w:rFonts w:ascii="Calibri" w:cs="Calibri" w:eastAsia="Calibri" w:hAnsi="Calibri"/>
          <w:b/>
          <w:bCs/>
          <w:color w:val="0B1F3A"/>
          <w:sz w:val="28"/>
          <w:szCs w:val="28"/>
        </w:rPr>
        <w:t xml:space="preserve">4. Aandachtspunten en risico’s</w:t>
      </w:r>
    </w:p>
    <w:p>
      <w:pPr>
        <w:spacing w:before="80" w:after="160"/>
      </w:pPr>
      <w:r>
        <w:rPr>
          <w:rFonts w:ascii="Calibri" w:cs="Calibri" w:eastAsia="Calibri" w:hAnsi="Calibri"/>
          <w:color w:val="1A2340"/>
          <w:sz w:val="22"/>
          <w:szCs w:val="22"/>
        </w:rPr>
        <w:t xml:space="preserve">{{risicos}}</w:t>
      </w:r>
    </w:p>
    <w:p>
      <w:pPr>
        <w:pBdr>
          <w:bottom w:val="single" w:color="D0D8EC" w:sz="2" w:space="1"/>
        </w:pBdr>
        <w:spacing w:before="160" w:after="160"/>
      </w:pPr>
    </w:p>
    <w:p>
      <w:pPr>
        <w:pStyle w:val="Heading1"/>
        <w:pBdr>
          <w:bottom w:val="single" w:color="2E6BE6" w:sz="4" w:space="4"/>
        </w:pBdr>
        <w:spacing w:before="280" w:after="140"/>
      </w:pPr>
      <w:r>
        <w:rPr>
          <w:rFonts w:ascii="Calibri" w:cs="Calibri" w:eastAsia="Calibri" w:hAnsi="Calibri"/>
          <w:b/>
          <w:bCs/>
          <w:color w:val="0B1F3A"/>
          <w:sz w:val="28"/>
          <w:szCs w:val="28"/>
        </w:rPr>
        <w:t xml:space="preserve">5. Mogelijk relevante subsidies</w:t>
      </w:r>
    </w:p>
    <w:p>
      <w:pPr>
        <w:spacing w:before="80" w:after="160"/>
      </w:pPr>
      <w:r>
        <w:rPr>
          <w:rFonts w:ascii="Calibri" w:cs="Calibri" w:eastAsia="Calibri" w:hAnsi="Calibri"/>
          <w:color w:val="1A2340"/>
          <w:sz w:val="22"/>
          <w:szCs w:val="22"/>
        </w:rPr>
        <w:t xml:space="preserve">{{subsidies}}</w:t>
      </w:r>
    </w:p>
    <w:p>
      <w:pPr>
        <w:pBdr>
          <w:bottom w:val="single" w:color="D0D8EC" w:sz="2" w:space="1"/>
        </w:pBdr>
        <w:spacing w:before="160" w:after="160"/>
      </w:pPr>
    </w:p>
    <w:p>
      <w:pPr>
        <w:pStyle w:val="Heading1"/>
        <w:pBdr>
          <w:bottom w:val="single" w:color="2E6BE6" w:sz="4" w:space="4"/>
        </w:pBdr>
        <w:spacing w:before="280" w:after="140"/>
      </w:pPr>
      <w:r>
        <w:rPr>
          <w:rFonts w:ascii="Calibri" w:cs="Calibri" w:eastAsia="Calibri" w:hAnsi="Calibri"/>
          <w:b/>
          <w:bCs/>
          <w:color w:val="0B1F3A"/>
          <w:sz w:val="28"/>
          <w:szCs w:val="28"/>
        </w:rPr>
        <w:t xml:space="preserve">6. Vervolgstappen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color w:val="1A2340"/>
          <w:sz w:val="22"/>
          <w:szCs w:val="22"/>
        </w:rPr>
        <w:t xml:space="preserve">Upload foto’s van dak, gevel, glas, installaties en kruipruimte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color w:val="1A2340"/>
          <w:sz w:val="22"/>
          <w:szCs w:val="22"/>
        </w:rPr>
        <w:t xml:space="preserve">Bevestig woningtype en eventuele renovatiejaren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color w:val="1A2340"/>
          <w:sz w:val="22"/>
          <w:szCs w:val="22"/>
        </w:rPr>
        <w:t xml:space="preserve">Gebruik dit rapport als basis voor offerte- of adviesgesprekken</w:t>
      </w:r>
    </w:p>
    <w:p>
      <w:pPr>
        <w:spacing w:before="320" w:after="80"/>
      </w:pPr>
    </w:p>
    <w:p>
      <w:pPr>
        <w:pBdr>
          <w:left w:val="single" w:color="2E6BE6" w:sz="12" w:space="4"/>
        </w:pBdr>
        <w:shd w:fill="F4F6FA" w:val="clear"/>
        <w:spacing w:before="80" w:after="0"/>
        <w:ind w:left="200"/>
      </w:pPr>
      <w:r>
        <w:rPr>
          <w:rFonts w:ascii="Calibri" w:cs="Calibri" w:eastAsia="Calibri" w:hAnsi="Calibri"/>
          <w:i/>
          <w:iCs/>
          <w:color w:val="5A6A85"/>
          <w:sz w:val="18"/>
          <w:szCs w:val="18"/>
        </w:rPr>
        <w:t xml:space="preserve">Disclaimer: dit rapport is indicatief en gebaseerd op registraties en aannames. Aan dit document kunnen geen rechten worden ontleend. Uitvoering vereist altijd verificatie op locatie en controle van actuele regelgeving.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8EC" w:sz="2" w:space="4"/>
      </w:pBdr>
      <w:tabs>
        <w:tab w:val="right" w:pos="9026"/>
      </w:tabs>
      <w:spacing w:before="80"/>
    </w:pPr>
    <w:r>
      <w:rPr>
        <w:rFonts w:ascii="Calibri" w:cs="Calibri" w:eastAsia="Calibri" w:hAnsi="Calibri"/>
        <w:color w:val="5A6A85"/>
        <w:sz w:val="16"/>
        <w:szCs w:val="16"/>
      </w:rPr>
      <w:t xml:space="preserve">Indicatief rapport · PandIQ · www.pandiq.nl</w:t>
    </w:r>
    <w:r>
      <w:rPr>
        <w:rFonts w:ascii="Calibri" w:cs="Calibri" w:eastAsia="Calibri" w:hAnsi="Calibri"/>
        <w:color w:val="5A6A85"/>
        <w:sz w:val="16"/>
        <w:szCs w:val="16"/>
      </w:rPr>
      <w:t xml:space="preserve">	Pagina </w:t>
    </w:r>
    <w:r>
      <w:rPr>
        <w:rFonts w:ascii="Calibri" w:cs="Calibri" w:eastAsia="Calibri" w:hAnsi="Calibri"/>
        <w:color w:val="5A6A85"/>
        <w:sz w:val="16"/>
        <w:szCs w:val="16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26"/>
      <w:tblBorders>
        <w:top w:val="none" w:color="FFFFFF" w:sz="0"/>
        <w:left w:val="none" w:color="FFFFFF" w:sz="0"/>
        <w:bottom w:val="single" w:color="2E6BE6" w:sz="4"/>
        <w:right w:val="none" w:color="FFFFFF" w:sz="0"/>
        <w:insideH w:val="single" w:color="auto" w:sz="4"/>
        <w:insideV w:val="single" w:color="auto" w:sz="4"/>
      </w:tblBorders>
    </w:tblPr>
    <w:tblGrid>
      <w:gridCol w:w="4513"/>
      <w:gridCol w:w="4513"/>
    </w:tblGrid>
    <w:tr>
      <w:tc>
        <w:tcPr>
          <w:tcW w:type="dxa" w:w="451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r>
            <w:rPr>
              <w:rFonts w:ascii="Georgia" w:cs="Georgia" w:eastAsia="Georgia" w:hAnsi="Georgia"/>
              <w:b/>
              <w:bCs/>
              <w:color w:val="0B1F3A"/>
              <w:sz w:val="28"/>
              <w:szCs w:val="28"/>
            </w:rPr>
            <w:t xml:space="preserve">Pand</w:t>
          </w:r>
          <w:r>
            <w:rPr>
              <w:rFonts w:ascii="Georgia" w:cs="Georgia" w:eastAsia="Georgia" w:hAnsi="Georgia"/>
              <w:b/>
              <w:bCs/>
              <w:color w:val="3DBDBD"/>
              <w:sz w:val="28"/>
              <w:szCs w:val="28"/>
            </w:rPr>
            <w:t xml:space="preserve">IQ</w:t>
          </w:r>
        </w:p>
      </w:tc>
      <w:tc>
        <w:tcPr>
          <w:tcW w:type="dxa" w:w="451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rFonts w:ascii="Calibri" w:cs="Calibri" w:eastAsia="Calibri" w:hAnsi="Calibri"/>
              <w:color w:val="5A6A85"/>
              <w:sz w:val="18"/>
              <w:szCs w:val="18"/>
            </w:rPr>
            <w:t xml:space="preserve">Isolatie Quickscan</w:t>
          </w:r>
        </w:p>
      </w:tc>
    </w:tr>
  </w:tbl>
  <w:p>
    <w:pPr>
      <w:spacing w:before="60" w:after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40"/>
      <w:outlineLvl w:val="0"/>
    </w:pPr>
    <w:rPr>
      <w:rFonts w:ascii="Calibri" w:cs="Calibri" w:eastAsia="Calibri" w:hAnsi="Calibri"/>
      <w:b/>
      <w:bCs/>
      <w:color w:val="0B1F3A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160" w:after="80"/>
      <w:outlineLvl w:val="1"/>
    </w:pPr>
    <w:rPr>
      <w:rFonts w:ascii="Calibri" w:cs="Calibri" w:eastAsia="Calibri" w:hAnsi="Calibri"/>
      <w:b/>
      <w:bCs/>
      <w:color w:val="2E6BE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2026-03-19T12:48:27.386Z</dcterms:created>
  <dcterms:modified xsi:type="dcterms:W3CDTF">2026-03-19T12:48:27.387Z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