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</w:p>
    <w:p w14:paraId="01AE5AC7" w14:textId="214548EC" w:rsidR="00B87BF5" w:rsidRDefault="00E110DB" w:rsidP="00B87BF5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 xml:space="preserve">Comment peut-on mesurer </w:t>
      </w:r>
      <w:r w:rsidR="00A542B3" w:rsidRPr="002C18C3">
        <w:rPr>
          <w:b/>
          <w:bCs/>
        </w:rPr>
        <w:t>l’ «</w:t>
      </w:r>
      <w:r w:rsidRPr="002C18C3">
        <w:rPr>
          <w:b/>
          <w:bCs/>
        </w:rPr>
        <w:t xml:space="preserve"> exposition au risque » dans le contexte du mandat?</w:t>
      </w:r>
    </w:p>
    <w:p w14:paraId="7159BFAA" w14:textId="77777777" w:rsidR="00465001" w:rsidRDefault="00400BA0" w:rsidP="00300F02">
      <w:pPr>
        <w:pStyle w:val="Paragraphedeliste"/>
        <w:contextualSpacing w:val="0"/>
      </w:pPr>
      <w:r w:rsidRPr="00B87BF5">
        <w:t>Selon notre contexte et le modèle de crédibilité Bühlmann-St</w:t>
      </w:r>
      <w:r w:rsidR="008038C0">
        <w:t>r</w:t>
      </w:r>
      <w:r w:rsidRPr="00B87BF5">
        <w:t xml:space="preserve">aud,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3A78A3" w:rsidRPr="00B87BF5">
        <w:t>.</w:t>
      </w:r>
      <w:r w:rsidRPr="00B87BF5">
        <w:t xml:space="preserve"> </w:t>
      </w:r>
      <w:r w:rsidR="00A542B3" w:rsidRPr="00300F02">
        <w:t xml:space="preserve">Le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542B3" w:rsidRPr="00300F02">
        <w:t xml:space="preserve">représente la quantité d’exposition au risque associée à l’assuré pendant la période considérée. </w:t>
      </w:r>
    </w:p>
    <w:p w14:paraId="2084104B" w14:textId="42F8468C" w:rsidR="00A542B3" w:rsidRDefault="00A542B3" w:rsidP="00300F02">
      <w:pPr>
        <w:pStyle w:val="Paragraphedeliste"/>
        <w:contextualSpacing w:val="0"/>
      </w:pPr>
      <w:r w:rsidRPr="00300F02">
        <w:t>Cette période n’est pas nécessairement une année : elle peut correspondre, selon le contexte, à un trimestre, un semestre, une année ou toute autre unité de temps pertinente. Par ailleurs, l’exposition au risque peut être mesurée de différentes façons. Elle peut, par exemple, être évaluée à l’aide du nombre d’employés couverts ou encore de la masse salariale de l’employeur.</w:t>
      </w:r>
    </w:p>
    <w:p w14:paraId="6EE75E56" w14:textId="6C2068B1" w:rsidR="00465001" w:rsidRPr="00465001" w:rsidRDefault="00465001" w:rsidP="00465001">
      <w:pPr>
        <w:pStyle w:val="Paragraphedeliste"/>
        <w:contextualSpacing w:val="0"/>
        <w:rPr>
          <w:rFonts w:eastAsiaTheme="minorEastAsia"/>
        </w:rPr>
      </w:pPr>
      <w:r>
        <w:t xml:space="preserve">Dans le contexte de notre travail, nous devons affecter cette période dans le cas d’un quatuor de golf. Pour notre part, nous avons décider d’affecter le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eastAsiaTheme="minorEastAsia"/>
        </w:rPr>
        <w:t xml:space="preserve"> à la performance du quatuor. Plus précisément, nous … </w:t>
      </w:r>
    </w:p>
    <w:p w14:paraId="0B640787" w14:textId="3CFDC7D0" w:rsidR="00400BA0" w:rsidRPr="00465001" w:rsidRDefault="00D13A85" w:rsidP="00465001">
      <w:pPr>
        <w:pStyle w:val="Paragraphedeliste"/>
        <w:contextualSpacing w:val="0"/>
        <w:rPr>
          <w:rFonts w:eastAsiaTheme="minorEastAsia"/>
        </w:rPr>
      </w:pPr>
      <w:r w:rsidRPr="00B87BF5">
        <w:t>Dans le modèle de Bühlmann-Straud</w:t>
      </w:r>
      <w:r w:rsidR="00953ADA" w:rsidRPr="00B87BF5">
        <w:t xml:space="preserve">, on </w:t>
      </w:r>
      <w:r w:rsidR="008869D8" w:rsidRPr="00B87BF5">
        <w:t>définit</w:t>
      </w:r>
      <w:r w:rsidR="00BE6ED4">
        <w:t xml:space="preserve"> </w:t>
      </w:r>
      <w:r w:rsidR="008869D8">
        <w:t xml:space="preserve">la variable observée par unité d’observation de la manière suivante </w:t>
      </w:r>
      <w:r w:rsidR="00400BA0" w:rsidRPr="00B87BF5">
        <w:t>:</w:t>
      </w:r>
    </w:p>
    <w:p w14:paraId="2A8A465E" w14:textId="77777777" w:rsidR="00E528D8" w:rsidRPr="00E528D8" w:rsidRDefault="00000000" w:rsidP="00400BA0">
      <w:pPr>
        <w:pStyle w:val="Paragraphedeliste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den>
          </m:f>
        </m:oMath>
      </m:oMathPara>
    </w:p>
    <w:p w14:paraId="4F92F5CD" w14:textId="0D6E77F2" w:rsidR="00400BA0" w:rsidRPr="001D5ACB" w:rsidRDefault="00E528D8" w:rsidP="00400BA0">
      <w:pPr>
        <w:pStyle w:val="Paragraphedeliste"/>
        <w:rPr>
          <w:b/>
          <w:bCs/>
        </w:rPr>
      </w:pPr>
      <w:r w:rsidRPr="001D5ACB">
        <w:t>Dans le modèle de Bühlmann-Str</w:t>
      </w:r>
      <w:r w:rsidR="001D5ACB" w:rsidRPr="001D5ACB">
        <w:t>a</w:t>
      </w:r>
      <w:r w:rsidRPr="001D5ACB">
        <w:t>ud</w:t>
      </w:r>
      <w:r w:rsidR="000E7306" w:rsidRPr="001D5ACB">
        <w:t xml:space="preserve">, le poids </w:t>
      </w:r>
      <w:r w:rsidR="001D5ACB" w:rsidRPr="001D5ACB">
        <w:t>a</w:t>
      </w:r>
      <w:r w:rsidR="000E7306" w:rsidRPr="001D5ACB">
        <w:t xml:space="preserve"> donc un impact sur </w:t>
      </w:r>
      <w:r w:rsidR="00E36ACE" w:rsidRPr="001D5ACB">
        <w:t>l’unité d’exposition.</w:t>
      </w:r>
      <w:r w:rsidR="001D5ACB" w:rsidRPr="001D5ACB">
        <w:t xml:space="preserve"> Et le poids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1D5ACB" w:rsidRPr="001D5ACB">
        <w:rPr>
          <w:rFonts w:eastAsiaTheme="minorEastAsia"/>
        </w:rPr>
        <w:t>) représente l’exposition au risque.</w:t>
      </w:r>
      <w:r w:rsidR="00400BA0" w:rsidRPr="001D5ACB">
        <w:br/>
      </w:r>
    </w:p>
    <w:p w14:paraId="20A349B4" w14:textId="77777777" w:rsidR="00E110DB" w:rsidRPr="002C18C3" w:rsidRDefault="00E110DB" w:rsidP="00E110DB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4B10E390" w14:textId="6EC6F5BD" w:rsidR="001C16FE" w:rsidRPr="001C16FE" w:rsidRDefault="00492BFF" w:rsidP="001C16FE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Bühlmann-Strau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>. Plus précisément, nous allons inclure la méthode la méthode paramétrique comme nous l’avons vue en classe. Voici les différents paramètres à calculer 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27755552" w:rsidR="00B92D04" w:rsidRPr="001C16FE" w:rsidRDefault="001C16FE" w:rsidP="001C16FE">
      <w:pPr>
        <w:pStyle w:val="Paragraphedeliste"/>
        <w:spacing w:after="120" w:line="240" w:lineRule="auto"/>
        <w:contextualSpacing w:val="0"/>
        <w:jc w:val="center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zw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</m:t>
                          </m:r>
                        </m:sub>
                      </m:sSub>
                    </m:den>
                  </m:f>
                </m:e>
              </m:d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×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</m:oMath>
      </m:oMathPara>
    </w:p>
    <w:p w14:paraId="470DF13D" w14:textId="7CEC8B4C" w:rsidR="00B92D04" w:rsidRPr="00B92D0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I(n-1)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3EC928EE" w:rsidR="00492BFF" w:rsidRPr="009111F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0832917C" w:rsidR="00492BFF" w:rsidRPr="00492BFF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a prime de crédibilité de Bühlmann–Straub :</w:t>
      </w:r>
    </w:p>
    <w:p w14:paraId="120B14B9" w14:textId="56D2604D" w:rsidR="00492BFF" w:rsidRPr="00D50756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  <w:r w:rsidR="00492BFF" w:rsidRPr="00492BFF"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  <w:br/>
      </w:r>
    </w:p>
    <w:p w14:paraId="235F5FF5" w14:textId="64FA3FCB" w:rsidR="00E110DB" w:rsidRDefault="00E110DB" w:rsidP="003F4800">
      <w:pPr>
        <w:pStyle w:val="Paragraphedeliste"/>
        <w:numPr>
          <w:ilvl w:val="0"/>
          <w:numId w:val="1"/>
        </w:numPr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Dans notre application, nous présentons trois modèles de crédibilité, soit </w:t>
      </w:r>
      <w:proofErr w:type="gramStart"/>
      <w:r w:rsidRPr="00130D95">
        <w:rPr>
          <w:rFonts w:asciiTheme="minorHAnsi" w:hAnsiTheme="minorHAnsi"/>
          <w:sz w:val="22"/>
          <w:szCs w:val="22"/>
        </w:rPr>
        <w:t>les modèles bayésien</w:t>
      </w:r>
      <w:proofErr w:type="gramEnd"/>
      <w:r w:rsidRPr="00130D95">
        <w:rPr>
          <w:rFonts w:asciiTheme="minorHAnsi" w:hAnsiTheme="minorHAnsi"/>
          <w:sz w:val="22"/>
          <w:szCs w:val="22"/>
        </w:rPr>
        <w:t>, de Bühlmann et de Bühlmann-Straub, afin de comparer leurs performances.</w:t>
      </w:r>
    </w:p>
    <w:p w14:paraId="09BD2AD5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Bühlmann-Straub est particulièrement pertinent dans notre contexte puisqu’il permet de tenir compte 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4C398E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Ainsi, en fonction des résultats empiriques et de la capacité du modèle à bien représenter l’exposition, le modèle de Bühlmann-Straub peut être recommandé comme modèle principal.</w:t>
      </w:r>
    </w:p>
    <w:p w14:paraId="72F7B30E" w14:textId="701112A3" w:rsidR="003F4800" w:rsidRPr="003F4800" w:rsidRDefault="003F4800" w:rsidP="004C398E">
      <w:pPr>
        <w:pStyle w:val="Paragraphedeliste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C16FE"/>
    <w:rsid w:val="001D5ACB"/>
    <w:rsid w:val="001E6E98"/>
    <w:rsid w:val="00236AB7"/>
    <w:rsid w:val="002C18C3"/>
    <w:rsid w:val="00300F02"/>
    <w:rsid w:val="003A78A3"/>
    <w:rsid w:val="003F4800"/>
    <w:rsid w:val="00400BA0"/>
    <w:rsid w:val="00465001"/>
    <w:rsid w:val="00492BFF"/>
    <w:rsid w:val="004C398E"/>
    <w:rsid w:val="00557063"/>
    <w:rsid w:val="005A0C1F"/>
    <w:rsid w:val="006D4B03"/>
    <w:rsid w:val="00734540"/>
    <w:rsid w:val="007345DF"/>
    <w:rsid w:val="0076539C"/>
    <w:rsid w:val="008038C0"/>
    <w:rsid w:val="008869D8"/>
    <w:rsid w:val="009111F4"/>
    <w:rsid w:val="00913043"/>
    <w:rsid w:val="00953ADA"/>
    <w:rsid w:val="00A24C4B"/>
    <w:rsid w:val="00A542B3"/>
    <w:rsid w:val="00A73723"/>
    <w:rsid w:val="00A85D5A"/>
    <w:rsid w:val="00AC79C3"/>
    <w:rsid w:val="00AC7B8C"/>
    <w:rsid w:val="00B87BF5"/>
    <w:rsid w:val="00B92D04"/>
    <w:rsid w:val="00BB32B8"/>
    <w:rsid w:val="00BE6ED4"/>
    <w:rsid w:val="00C02431"/>
    <w:rsid w:val="00C223FD"/>
    <w:rsid w:val="00C312FE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Props1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515</Words>
  <Characters>2950</Characters>
  <Application>Microsoft Office Word</Application>
  <DocSecurity>0</DocSecurity>
  <Lines>62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Marc-Antoine Dion</cp:lastModifiedBy>
  <cp:revision>8</cp:revision>
  <dcterms:created xsi:type="dcterms:W3CDTF">2026-03-24T14:47:00Z</dcterms:created>
  <dcterms:modified xsi:type="dcterms:W3CDTF">2026-03-26T17:45:00Z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