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</w:p>
    <w:p w14:paraId="01AE5AC7" w14:textId="77777777" w:rsidR="00B87BF5" w:rsidRDefault="00E110DB" w:rsidP="00B87BF5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>Comment peut-on mesurer l’ « exposition au risque » dans le contexte du mandat?</w:t>
      </w:r>
    </w:p>
    <w:p w14:paraId="0B640787" w14:textId="5F36658F" w:rsidR="00400BA0" w:rsidRPr="00B87BF5" w:rsidRDefault="00400BA0" w:rsidP="00B87BF5">
      <w:pPr>
        <w:pStyle w:val="Paragraphedeliste"/>
        <w:rPr>
          <w:b/>
          <w:bCs/>
        </w:rPr>
      </w:pPr>
      <w:r w:rsidRPr="00B87BF5">
        <w:t>Selon notre contexte et le modèle de crédibilité Bühlmann-St</w:t>
      </w:r>
      <w:r w:rsidR="008038C0">
        <w:t>r</w:t>
      </w:r>
      <w:r w:rsidRPr="00B87BF5">
        <w:t xml:space="preserve">aud,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3A78A3" w:rsidRPr="00B87BF5">
        <w:t>.</w:t>
      </w:r>
      <w:r w:rsidRPr="00B87BF5">
        <w:t xml:space="preserve"> </w:t>
      </w:r>
      <w:r w:rsidR="003A78A3" w:rsidRPr="00B87BF5">
        <w:t xml:space="preserve">Ce poids </w:t>
      </w:r>
      <w:r w:rsidRPr="00B87BF5">
        <w:t>représen</w:t>
      </w:r>
      <w:r w:rsidR="003A78A3" w:rsidRPr="00B87BF5">
        <w:t>te</w:t>
      </w:r>
      <w:r w:rsidRPr="00B87BF5">
        <w:t xml:space="preserve"> la proportion de la période pendant laquelle l’assuré a été exposé au risque durant l’année. Par exemple, une année complète</w:t>
      </w:r>
      <w:r w:rsidR="003A78A3" w:rsidRPr="00B87BF5">
        <w:t xml:space="preserve">, on aurait un poids 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=1</m:t>
        </m:r>
      </m:oMath>
      <w:r w:rsidRPr="00B87BF5">
        <w:t xml:space="preserve">, </w:t>
      </w:r>
      <w:r w:rsidR="003A78A3" w:rsidRPr="00B87BF5">
        <w:t xml:space="preserve">tandis que pour </w:t>
      </w:r>
      <w:r w:rsidRPr="00B87BF5">
        <w:t>six mois</w:t>
      </w:r>
      <w:r w:rsidR="003A78A3" w:rsidRPr="00B87BF5">
        <w:t>, on aurait un poids</w:t>
      </w:r>
      <w:r w:rsidRPr="00B87BF5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=0.5</m:t>
        </m:r>
      </m:oMath>
      <w:r w:rsidRPr="00B87BF5">
        <w:t xml:space="preserve">. </w:t>
      </w:r>
      <w:r w:rsidR="00D13A85" w:rsidRPr="00B87BF5">
        <w:t>Dans le modèle de Bühlmann-Straud</w:t>
      </w:r>
      <w:r w:rsidR="00953ADA" w:rsidRPr="00B87BF5">
        <w:t xml:space="preserve">, on </w:t>
      </w:r>
      <w:r w:rsidR="008869D8" w:rsidRPr="00B87BF5">
        <w:t>définit</w:t>
      </w:r>
      <w:r w:rsidR="00BE6ED4">
        <w:t xml:space="preserve"> </w:t>
      </w:r>
      <w:r w:rsidR="008869D8">
        <w:t xml:space="preserve">la variable observée par unité d’observation de la manière suivante </w:t>
      </w:r>
      <w:r w:rsidRPr="00B87BF5">
        <w:t>:</w:t>
      </w:r>
    </w:p>
    <w:p w14:paraId="2A8A465E" w14:textId="77777777" w:rsidR="00E528D8" w:rsidRPr="00E528D8" w:rsidRDefault="00000000" w:rsidP="00400BA0">
      <w:pPr>
        <w:pStyle w:val="Paragraphedeliste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den>
          </m:f>
        </m:oMath>
      </m:oMathPara>
    </w:p>
    <w:p w14:paraId="4F92F5CD" w14:textId="0D6E77F2" w:rsidR="00400BA0" w:rsidRPr="001D5ACB" w:rsidRDefault="00E528D8" w:rsidP="00400BA0">
      <w:pPr>
        <w:pStyle w:val="Paragraphedeliste"/>
        <w:rPr>
          <w:b/>
          <w:bCs/>
        </w:rPr>
      </w:pPr>
      <w:r w:rsidRPr="001D5ACB">
        <w:t>Dans le modèle de Bühlmann-Str</w:t>
      </w:r>
      <w:r w:rsidR="001D5ACB" w:rsidRPr="001D5ACB">
        <w:t>a</w:t>
      </w:r>
      <w:r w:rsidRPr="001D5ACB">
        <w:t>ud</w:t>
      </w:r>
      <w:r w:rsidR="000E7306" w:rsidRPr="001D5ACB">
        <w:t xml:space="preserve">, le poids </w:t>
      </w:r>
      <w:r w:rsidR="001D5ACB" w:rsidRPr="001D5ACB">
        <w:t>a</w:t>
      </w:r>
      <w:r w:rsidR="000E7306" w:rsidRPr="001D5ACB">
        <w:t xml:space="preserve"> donc un impact sur </w:t>
      </w:r>
      <w:r w:rsidR="00E36ACE" w:rsidRPr="001D5ACB">
        <w:t>l’unité d’exposition.</w:t>
      </w:r>
      <w:r w:rsidR="001D5ACB" w:rsidRPr="001D5ACB">
        <w:t xml:space="preserve"> Et le poids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1D5ACB" w:rsidRPr="001D5ACB">
        <w:rPr>
          <w:rFonts w:eastAsiaTheme="minorEastAsia"/>
        </w:rPr>
        <w:t>) représente l’exposition au risque.</w:t>
      </w:r>
      <w:r w:rsidR="00400BA0" w:rsidRPr="001D5ACB">
        <w:br/>
      </w:r>
    </w:p>
    <w:p w14:paraId="20A349B4" w14:textId="77777777" w:rsidR="00E110DB" w:rsidRPr="002C18C3" w:rsidRDefault="00E110DB" w:rsidP="00E110DB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715054A5" w14:textId="046CE396" w:rsidR="00492BFF" w:rsidRPr="00E00764" w:rsidRDefault="00492BFF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</w:t>
      </w:r>
      <w:proofErr w:type="spellStart"/>
      <w:r w:rsidR="00E00764">
        <w:rPr>
          <w:rFonts w:eastAsia="Times New Roman" w:cs="Times New Roman"/>
          <w:kern w:val="0"/>
          <w:lang w:eastAsia="fr-CA"/>
          <w14:ligatures w14:val="none"/>
        </w:rPr>
        <w:t>Bühlmann</w:t>
      </w:r>
      <w:proofErr w:type="spellEnd"/>
      <w:r w:rsidR="00E00764">
        <w:rPr>
          <w:rFonts w:eastAsia="Times New Roman" w:cs="Times New Roman"/>
          <w:kern w:val="0"/>
          <w:lang w:eastAsia="fr-CA"/>
          <w14:ligatures w14:val="none"/>
        </w:rPr>
        <w:t>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>. Plus précisément, nous allons inclure la méthode la méthode paramétrique comme nous l’avons vue en classe. Voici les différents paramètres à calculer 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447EFD69" w:rsidR="00B92D04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iw</m:t>
                  </m:r>
                </m:sub>
              </m:sSub>
            </m:e>
          </m:nary>
        </m:oMath>
      </m:oMathPara>
    </w:p>
    <w:p w14:paraId="470DF13D" w14:textId="7CEC8B4C" w:rsidR="00B92D04" w:rsidRPr="00B92D0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I(n-1)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3EC928EE" w:rsidR="00492BFF" w:rsidRPr="009111F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0832917C" w:rsidR="00492BFF" w:rsidRPr="00492BFF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 xml:space="preserve">a prime de crédibilité de </w:t>
      </w:r>
      <w:proofErr w:type="spellStart"/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Bühlmann</w:t>
      </w:r>
      <w:proofErr w:type="spellEnd"/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–Straub :</w:t>
      </w:r>
    </w:p>
    <w:p w14:paraId="120B14B9" w14:textId="56D2604D" w:rsidR="00492BFF" w:rsidRPr="00D50756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  <w:r w:rsidR="00492BFF" w:rsidRPr="00492BFF"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  <w:br/>
      </w:r>
    </w:p>
    <w:p w14:paraId="235F5FF5" w14:textId="64FA3FCB" w:rsidR="00E110DB" w:rsidRDefault="00E110DB" w:rsidP="003F4800">
      <w:pPr>
        <w:pStyle w:val="Paragraphedeliste"/>
        <w:numPr>
          <w:ilvl w:val="0"/>
          <w:numId w:val="1"/>
        </w:numPr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Dans notre application, nous présentons trois modèles de crédibilité, soit les modèles bayésien, 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 xml:space="preserve"> et 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>-Straub, afin de comparer leurs performances.</w:t>
      </w:r>
    </w:p>
    <w:p w14:paraId="09BD2AD5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 xml:space="preserve">-Straub est particulièrement pertinent dans notre contexte puisqu’il permet de tenir compte 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4C398E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Ainsi, en fonction des résultats empiriques et de la capacité du modèle à bien représenter l’exposition, le modèle 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>-Straub peut être recommandé comme modèle principal.</w:t>
      </w:r>
    </w:p>
    <w:p w14:paraId="72F7B30E" w14:textId="701112A3" w:rsidR="003F4800" w:rsidRPr="003F4800" w:rsidRDefault="003F4800" w:rsidP="004C398E">
      <w:pPr>
        <w:pStyle w:val="Paragraphedeliste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D5ACB"/>
    <w:rsid w:val="002C18C3"/>
    <w:rsid w:val="003A78A3"/>
    <w:rsid w:val="003F4800"/>
    <w:rsid w:val="00400BA0"/>
    <w:rsid w:val="00492BFF"/>
    <w:rsid w:val="004C398E"/>
    <w:rsid w:val="00557063"/>
    <w:rsid w:val="005A0C1F"/>
    <w:rsid w:val="006D4B03"/>
    <w:rsid w:val="00734540"/>
    <w:rsid w:val="0076539C"/>
    <w:rsid w:val="008038C0"/>
    <w:rsid w:val="008869D8"/>
    <w:rsid w:val="009111F4"/>
    <w:rsid w:val="00953ADA"/>
    <w:rsid w:val="00A73723"/>
    <w:rsid w:val="00A85D5A"/>
    <w:rsid w:val="00AC7B8C"/>
    <w:rsid w:val="00B87BF5"/>
    <w:rsid w:val="00B92D04"/>
    <w:rsid w:val="00BB32B8"/>
    <w:rsid w:val="00BE6ED4"/>
    <w:rsid w:val="00C02431"/>
    <w:rsid w:val="00C223FD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459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Joel Ducasse</cp:lastModifiedBy>
  <cp:revision>5</cp:revision>
  <dcterms:created xsi:type="dcterms:W3CDTF">2026-03-24T14:47:00Z</dcterms:created>
  <dcterms:modified xsi:type="dcterms:W3CDTF">2026-03-26T03:01:00Z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