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C25AA7" w14:textId="0CA494AD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 xml:space="preserve">ACT-2008 </w:t>
      </w:r>
      <w:r w:rsidR="00EB2C10">
        <w:rPr>
          <w:b/>
          <w:bCs/>
        </w:rPr>
        <w:t>–</w:t>
      </w:r>
      <w:r w:rsidRPr="008038C0">
        <w:rPr>
          <w:b/>
          <w:bCs/>
        </w:rPr>
        <w:t xml:space="preserve"> </w:t>
      </w:r>
      <w:r w:rsidR="00EB2C10">
        <w:rPr>
          <w:b/>
          <w:bCs/>
        </w:rPr>
        <w:t>Café du savoir 3</w:t>
      </w:r>
    </w:p>
    <w:p w14:paraId="451C6D1E" w14:textId="3555529F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Équipe 17 :</w:t>
      </w:r>
    </w:p>
    <w:p w14:paraId="6E92F76E" w14:textId="254F62B3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Joël Ducasse (537 166 308),</w:t>
      </w:r>
    </w:p>
    <w:p w14:paraId="172B2782" w14:textId="718A24B2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Alexandre Quirion (537 169 187),</w:t>
      </w:r>
    </w:p>
    <w:p w14:paraId="6D97531B" w14:textId="5BAEBF4B" w:rsidR="008038C0" w:rsidRPr="008038C0" w:rsidRDefault="008038C0" w:rsidP="008038C0">
      <w:pPr>
        <w:pStyle w:val="Paragraphedeliste"/>
        <w:spacing w:after="0"/>
        <w:jc w:val="center"/>
        <w:rPr>
          <w:b/>
          <w:bCs/>
        </w:rPr>
      </w:pPr>
      <w:r w:rsidRPr="008038C0">
        <w:rPr>
          <w:b/>
          <w:bCs/>
        </w:rPr>
        <w:t>Ahlin Roland Césaire Tchintchin (536 793 919) et</w:t>
      </w:r>
    </w:p>
    <w:p w14:paraId="615C2B71" w14:textId="77777777" w:rsidR="008038C0" w:rsidRP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Marc-Antoine Dion (537 170 284)</w:t>
      </w:r>
    </w:p>
    <w:p w14:paraId="27FB78FA" w14:textId="77777777" w:rsidR="008038C0" w:rsidRDefault="008038C0" w:rsidP="008038C0">
      <w:pPr>
        <w:pStyle w:val="Paragraphedeliste"/>
        <w:contextualSpacing w:val="0"/>
        <w:jc w:val="center"/>
        <w:rPr>
          <w:b/>
          <w:bCs/>
        </w:rPr>
      </w:pPr>
      <w:r w:rsidRPr="008038C0">
        <w:rPr>
          <w:b/>
          <w:bCs/>
        </w:rPr>
        <w:t>Le 26 mars 2026</w:t>
      </w:r>
    </w:p>
    <w:p w14:paraId="5B04B8E7" w14:textId="77777777" w:rsidR="008038C0" w:rsidRPr="008038C0" w:rsidRDefault="008038C0" w:rsidP="005B6D38">
      <w:pPr>
        <w:pStyle w:val="Paragraphedeliste"/>
        <w:contextualSpacing w:val="0"/>
        <w:jc w:val="both"/>
        <w:rPr>
          <w:b/>
          <w:bCs/>
        </w:rPr>
      </w:pPr>
    </w:p>
    <w:p w14:paraId="01AE5AC7" w14:textId="214548EC" w:rsidR="00B87BF5" w:rsidRDefault="00E110DB" w:rsidP="005B6D38">
      <w:pPr>
        <w:pStyle w:val="Paragraphedeliste"/>
        <w:numPr>
          <w:ilvl w:val="0"/>
          <w:numId w:val="1"/>
        </w:numPr>
        <w:jc w:val="both"/>
        <w:rPr>
          <w:b/>
          <w:bCs/>
        </w:rPr>
      </w:pPr>
      <w:r w:rsidRPr="002C18C3">
        <w:rPr>
          <w:b/>
          <w:bCs/>
        </w:rPr>
        <w:t xml:space="preserve">Comment peut-on mesurer </w:t>
      </w:r>
      <w:r w:rsidR="00A542B3" w:rsidRPr="002C18C3">
        <w:rPr>
          <w:b/>
          <w:bCs/>
        </w:rPr>
        <w:t>l’ «</w:t>
      </w:r>
      <w:r w:rsidRPr="002C18C3">
        <w:rPr>
          <w:b/>
          <w:bCs/>
        </w:rPr>
        <w:t xml:space="preserve"> exposition au risque » dans le contexte du mandat?</w:t>
      </w:r>
    </w:p>
    <w:p w14:paraId="7159BFAA" w14:textId="13D227F2" w:rsidR="00465001" w:rsidRDefault="005E32C8" w:rsidP="005B6D38">
      <w:pPr>
        <w:pStyle w:val="Paragraphedeliste"/>
        <w:contextualSpacing w:val="0"/>
        <w:jc w:val="both"/>
      </w:pPr>
      <w:r>
        <w:t>Dans</w:t>
      </w:r>
      <w:r w:rsidR="00400BA0" w:rsidRPr="00B87BF5">
        <w:t xml:space="preserve"> le modèle de crédibilité </w:t>
      </w:r>
      <w:proofErr w:type="spellStart"/>
      <w:r w:rsidR="00400BA0" w:rsidRPr="00B87BF5">
        <w:t>Bühlmann</w:t>
      </w:r>
      <w:proofErr w:type="spellEnd"/>
      <w:r w:rsidR="00400BA0" w:rsidRPr="00B87BF5">
        <w:t>-St</w:t>
      </w:r>
      <w:r w:rsidR="008038C0">
        <w:t>r</w:t>
      </w:r>
      <w:r w:rsidR="00400BA0" w:rsidRPr="00B87BF5">
        <w:t>au</w:t>
      </w:r>
      <w:r>
        <w:t>b</w:t>
      </w:r>
      <w:r w:rsidR="00400BA0" w:rsidRPr="00B87BF5">
        <w:t xml:space="preserve">, l’exposition au risque peut être mesurée par un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rPr>
          <w:rFonts w:eastAsiaTheme="minorEastAsia"/>
        </w:rPr>
        <w:t xml:space="preserve"> en général</w:t>
      </w:r>
      <w:r w:rsidR="003A78A3" w:rsidRPr="00B87BF5">
        <w:t>.</w:t>
      </w:r>
      <w:r w:rsidR="00400BA0" w:rsidRPr="00B87BF5">
        <w:t xml:space="preserve"> </w:t>
      </w:r>
      <w:r w:rsidR="00A542B3" w:rsidRPr="00300F02">
        <w:t xml:space="preserve">Le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 xml:space="preserve"> </m:t>
        </m:r>
      </m:oMath>
      <w:r w:rsidR="00A542B3" w:rsidRPr="00300F02">
        <w:t xml:space="preserve">représente la quantité d’exposition au risque associée à l’assuré pendant la période considérée. </w:t>
      </w:r>
    </w:p>
    <w:p w14:paraId="2084104B" w14:textId="77E2CCBA" w:rsidR="00A542B3" w:rsidRDefault="00A542B3" w:rsidP="005B6D38">
      <w:pPr>
        <w:pStyle w:val="Paragraphedeliste"/>
        <w:contextualSpacing w:val="0"/>
        <w:jc w:val="both"/>
      </w:pPr>
      <w:r w:rsidRPr="00300F02">
        <w:t xml:space="preserve">Cette période n’est pas nécessairement une année : elle peut correspondre, selon le contexte, à un trimestre, </w:t>
      </w:r>
      <w:r w:rsidR="005E32C8">
        <w:t xml:space="preserve">à </w:t>
      </w:r>
      <w:r w:rsidRPr="00300F02">
        <w:t xml:space="preserve">un semestre, </w:t>
      </w:r>
      <w:r w:rsidR="005E32C8">
        <w:t xml:space="preserve">à </w:t>
      </w:r>
      <w:r w:rsidRPr="00300F02">
        <w:t xml:space="preserve">une année ou </w:t>
      </w:r>
      <w:r w:rsidR="005E32C8">
        <w:t xml:space="preserve">à </w:t>
      </w:r>
      <w:r w:rsidRPr="00300F02">
        <w:t>toute autre unité de temps pertinente. Par ailleurs, l’exposition au risque peut être mesurée de différentes façons. Elle peut, par exemple, être évaluée à l’aide du nombre d’employés couverts ou encore de la masse salariale de l’employeur.</w:t>
      </w:r>
    </w:p>
    <w:p w14:paraId="16719796" w14:textId="3E274129" w:rsidR="001A3FB6" w:rsidRPr="001A3FB6" w:rsidRDefault="005E32C8" w:rsidP="005B6D38">
      <w:pPr>
        <w:pStyle w:val="Paragraphedeliste"/>
        <w:contextualSpacing w:val="0"/>
        <w:jc w:val="both"/>
      </w:pPr>
      <w:r>
        <w:t>Dans le cadre de</w:t>
      </w:r>
      <w:r w:rsidR="001A3FB6">
        <w:t xml:space="preserve"> notre travail</w:t>
      </w:r>
      <w:r w:rsidR="001A3FB6" w:rsidRPr="001A3FB6">
        <w:t>,</w:t>
      </w:r>
      <w:r w:rsidR="001A3FB6">
        <w:t xml:space="preserve"> nous considérons que</w:t>
      </w:r>
      <w:r w:rsidR="001A3FB6" w:rsidRPr="001A3FB6">
        <w:t xml:space="preserve"> cette exposition correspond à l’information disponible sur la performance d’un quatuor à partir des trous joués</w:t>
      </w:r>
      <w:r w:rsidR="001A3FB6">
        <w:t xml:space="preserve"> précédemment</w:t>
      </w:r>
      <w:r w:rsidR="001A3FB6" w:rsidRPr="001A3FB6">
        <w:t xml:space="preserve">. </w:t>
      </w:r>
      <w:r w:rsidR="001A3FB6">
        <w:t>Nous avons donc décidé de considérer que chaque trou joué correspond à une unité d’exposition.</w:t>
      </w:r>
    </w:p>
    <w:p w14:paraId="1ED11209" w14:textId="4C0BAE80" w:rsidR="001A3FB6" w:rsidRPr="001A3FB6" w:rsidRDefault="001A3FB6" w:rsidP="005B6D38">
      <w:pPr>
        <w:pStyle w:val="Paragraphedeliste"/>
        <w:contextualSpacing w:val="0"/>
        <w:jc w:val="both"/>
      </w:pPr>
      <w:r>
        <w:t xml:space="preserve">De plus, nous pouvons tenir compte des différentes </w:t>
      </w:r>
      <w:r w:rsidR="005B6D38">
        <w:t xml:space="preserve">caractéristiques </w:t>
      </w:r>
      <w:r>
        <w:t xml:space="preserve">des trous dans le parcours de golf. Pour réaliser ceci, on considère les poids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rPr>
          <w:rFonts w:eastAsiaTheme="minorEastAsia"/>
        </w:rPr>
        <w:t xml:space="preserve"> </w:t>
      </w:r>
      <w:r w:rsidR="005E32C8">
        <w:rPr>
          <w:rFonts w:eastAsiaTheme="minorEastAsia"/>
        </w:rPr>
        <w:t>comme étant</w:t>
      </w:r>
      <w:r>
        <w:rPr>
          <w:rFonts w:eastAsiaTheme="minorEastAsia"/>
        </w:rPr>
        <w:t xml:space="preserve"> </w:t>
      </w:r>
      <w:r w:rsidR="00F63B2F">
        <w:t>la différence entre les scores observés et les valeurs des pars, le tout en valeur absolue</w:t>
      </w:r>
      <w:r w:rsidR="00635DA2">
        <w:t>, et ce, pour s’assurer que les poids soient toujours positifs</w:t>
      </w:r>
      <w:r w:rsidRPr="001A3FB6">
        <w:t>.</w:t>
      </w:r>
      <w:r>
        <w:t xml:space="preserve"> </w:t>
      </w:r>
    </w:p>
    <w:p w14:paraId="55ADB41E" w14:textId="4F6698EA" w:rsidR="001A3FB6" w:rsidRPr="001A3FB6" w:rsidRDefault="001A3FB6" w:rsidP="005B6D38">
      <w:pPr>
        <w:pStyle w:val="Paragraphedeliste"/>
        <w:contextualSpacing w:val="0"/>
        <w:jc w:val="both"/>
      </w:pPr>
      <w:r w:rsidRPr="001A3FB6">
        <w:t>L’exposition totale d’un quatuor est alors :</w:t>
      </w:r>
    </w:p>
    <w:p w14:paraId="1D19276E" w14:textId="77F21F9E" w:rsidR="00F63B2F" w:rsidRDefault="00000000" w:rsidP="00635DA2">
      <w:pPr>
        <w:pStyle w:val="Paragraphedeliste"/>
        <w:contextualSpacing w:val="0"/>
        <w:jc w:val="both"/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</m:e>
          </m:nary>
          <m:r>
            <m:rPr>
              <m:sty m:val="p"/>
            </m:rPr>
            <w:rPr>
              <w:rFonts w:ascii="Cambria Math"/>
            </w:rPr>
            <m:t>=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t</m:t>
              </m:r>
            </m:sub>
            <m:sup/>
            <m:e>
              <m:r>
                <w:rPr>
                  <w:rFonts w:ascii="Cambria Math" w:hAnsi="Cambria Math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(S</m:t>
                  </m:r>
                </m:e>
                <m:sub>
                  <m:r>
                    <w:rPr>
                      <w:rFonts w:ascii="Cambria Math" w:hAnsi="Cambria Math"/>
                    </w:rPr>
                    <m:t>it</m:t>
                  </m:r>
                </m:sub>
              </m:sSub>
              <m:r>
                <w:rPr>
                  <w:rFonts w:ascii="Cambria Math" w:hAnsi="Cambria Math"/>
                </w:rPr>
                <m:t xml:space="preserve">+1) -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Par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|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="00635DA2">
        <w:t>Le +1 est présent pour s’assurer qu’une différence entre le score observé et le par qui est nulle ne vienne pas enlever la donnée de notre modèle.</w:t>
      </w:r>
    </w:p>
    <w:p w14:paraId="38E9FA8A" w14:textId="200CA218" w:rsidR="00635DA2" w:rsidRPr="00FD1ECE" w:rsidRDefault="00635DA2" w:rsidP="00FD1ECE">
      <w:pPr>
        <w:pStyle w:val="Paragraphedeliste"/>
        <w:contextualSpacing w:val="0"/>
      </w:pPr>
      <w:r>
        <w:t>Les poids</w:t>
      </w:r>
      <w:r w:rsidRPr="00635DA2">
        <w:rPr>
          <w:i/>
          <w:iCs/>
        </w:rPr>
        <w:t xml:space="preserve"> </w:t>
      </w:r>
      <w:proofErr w:type="spellStart"/>
      <w:r w:rsidRPr="00635DA2">
        <w:rPr>
          <w:i/>
          <w:iCs/>
        </w:rPr>
        <w:t>w</w:t>
      </w:r>
      <w:r w:rsidRPr="00635DA2">
        <w:rPr>
          <w:i/>
          <w:iCs/>
          <w:vertAlign w:val="subscript"/>
        </w:rPr>
        <w:t>it</w:t>
      </w:r>
      <w:proofErr w:type="spellEnd"/>
      <w:r>
        <w:rPr>
          <w:i/>
          <w:iCs/>
          <w:vertAlign w:val="subscript"/>
        </w:rPr>
        <w:t xml:space="preserve"> </w:t>
      </w:r>
      <w:r w:rsidR="00FD1ECE">
        <w:rPr>
          <w:i/>
          <w:iCs/>
          <w:vertAlign w:val="subscript"/>
        </w:rPr>
        <w:t xml:space="preserve"> </w:t>
      </w:r>
      <w:r>
        <w:t xml:space="preserve">peuvent être interprétés comme suit : un score s’éloignant beaucoup du par pour un trou crée une exposition au risque (de différence entre le score et le par) élevée, qui correspond donc à une plus grosse pondération </w:t>
      </w:r>
      <w:proofErr w:type="spellStart"/>
      <w:r w:rsidRPr="00635DA2">
        <w:rPr>
          <w:i/>
          <w:iCs/>
        </w:rPr>
        <w:t>w</w:t>
      </w:r>
      <w:r w:rsidRPr="00635DA2">
        <w:rPr>
          <w:i/>
          <w:iCs/>
          <w:vertAlign w:val="subscript"/>
        </w:rPr>
        <w:t>it</w:t>
      </w:r>
      <w:proofErr w:type="spellEnd"/>
      <w:r>
        <w:t>, tandis qu’un score très près</w:t>
      </w:r>
      <w:r w:rsidR="00BE00D4">
        <w:t xml:space="preserve"> du par est moins exposé au risque (plus petit </w:t>
      </w:r>
      <w:proofErr w:type="spellStart"/>
      <w:r w:rsidR="00BE00D4" w:rsidRPr="00635DA2">
        <w:rPr>
          <w:i/>
          <w:iCs/>
        </w:rPr>
        <w:t>w</w:t>
      </w:r>
      <w:r w:rsidR="00BE00D4" w:rsidRPr="00635DA2">
        <w:rPr>
          <w:i/>
          <w:iCs/>
          <w:vertAlign w:val="subscript"/>
        </w:rPr>
        <w:t>it</w:t>
      </w:r>
      <w:proofErr w:type="spellEnd"/>
      <w:r w:rsidR="00BE00D4">
        <w:t>).</w:t>
      </w:r>
      <w:r w:rsidR="00400BA0" w:rsidRPr="001D5ACB">
        <w:br/>
      </w:r>
    </w:p>
    <w:p w14:paraId="20A349B4" w14:textId="77777777" w:rsidR="00E110DB" w:rsidRPr="002C18C3" w:rsidRDefault="00E110DB" w:rsidP="005B6D38">
      <w:pPr>
        <w:pStyle w:val="Paragraphedeliste"/>
        <w:numPr>
          <w:ilvl w:val="0"/>
          <w:numId w:val="1"/>
        </w:numPr>
        <w:jc w:val="both"/>
        <w:rPr>
          <w:b/>
          <w:bCs/>
        </w:rPr>
      </w:pPr>
      <w:r w:rsidRPr="002C18C3">
        <w:rPr>
          <w:b/>
          <w:bCs/>
        </w:rPr>
        <w:t>Exprimez sous forme mathématique le troisième modèle de crédibilité que vous comptez étudier.</w:t>
      </w:r>
    </w:p>
    <w:p w14:paraId="4B10E390" w14:textId="2E0E5619" w:rsidR="001C16FE" w:rsidRPr="001C16FE" w:rsidRDefault="00492BFF" w:rsidP="00FD1ECE">
      <w:pPr>
        <w:pStyle w:val="Paragraphedeliste"/>
        <w:spacing w:before="100" w:beforeAutospacing="1" w:after="120" w:line="240" w:lineRule="auto"/>
        <w:contextualSpacing w:val="0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lastRenderedPageBreak/>
        <w:t>Le troisième et dernier modèle que nous allons inclure dans notre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application est le modèle de Bühlmann-Strau</w:t>
      </w:r>
      <w:r w:rsidR="00AC7B8C">
        <w:rPr>
          <w:rFonts w:eastAsia="Times New Roman" w:cs="Times New Roman"/>
          <w:kern w:val="0"/>
          <w:lang w:eastAsia="fr-CA"/>
          <w14:ligatures w14:val="none"/>
        </w:rPr>
        <w:t>b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. Plus précisément, nous allons inclure la méthode </w:t>
      </w:r>
      <w:r w:rsidR="005E32C8">
        <w:rPr>
          <w:rFonts w:eastAsia="Times New Roman" w:cs="Times New Roman"/>
          <w:kern w:val="0"/>
          <w:lang w:eastAsia="fr-CA"/>
          <w14:ligatures w14:val="none"/>
        </w:rPr>
        <w:t xml:space="preserve">non </w:t>
      </w:r>
      <w:r w:rsidR="00E00764">
        <w:rPr>
          <w:rFonts w:eastAsia="Times New Roman" w:cs="Times New Roman"/>
          <w:kern w:val="0"/>
          <w:lang w:eastAsia="fr-CA"/>
          <w14:ligatures w14:val="none"/>
        </w:rPr>
        <w:t>paramétrique comme nous l’avons vue en classe. Voici les différents paramètres à calculer pour ce modèle de prévision :</w:t>
      </w:r>
      <w:r w:rsidRPr="00E00764">
        <w:rPr>
          <w:rFonts w:eastAsia="Times New Roman" w:cs="Times New Roman"/>
          <w:kern w:val="0"/>
          <w:lang w:eastAsia="fr-CA"/>
          <w14:ligatures w14:val="none"/>
        </w:rPr>
        <w:br/>
      </w:r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Calcul des paramètres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</m:t>
        </m:r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, </w:t>
      </w:r>
      <m:oMath>
        <m:sSup>
          <m:s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s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2</m:t>
            </m:r>
          </m:sup>
        </m:sSup>
      </m:oMath>
      <w:r w:rsidR="00E00764">
        <w:rPr>
          <w:rFonts w:eastAsia="Times New Roman" w:cs="Times New Roman"/>
          <w:kern w:val="0"/>
          <w:lang w:eastAsia="fr-CA"/>
          <w14:ligatures w14:val="none"/>
        </w:rPr>
        <w:t xml:space="preserve"> et </w:t>
      </w:r>
      <m:oMath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a</m:t>
        </m:r>
      </m:oMath>
      <w:r w:rsidRPr="00E00764">
        <w:rPr>
          <w:rFonts w:eastAsia="Times New Roman" w:cs="Times New Roman"/>
          <w:kern w:val="0"/>
          <w:lang w:eastAsia="fr-CA"/>
          <w14:ligatures w14:val="none"/>
        </w:rPr>
        <w:t>:</w:t>
      </w:r>
    </w:p>
    <w:p w14:paraId="01DCCEFB" w14:textId="27755552" w:rsidR="00B92D04" w:rsidRPr="001C16FE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m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zw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</m:t>
                          </m:r>
                        </m:sub>
                      </m:sSub>
                    </m:den>
                  </m:f>
                </m:e>
              </m:d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×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</m:oMath>
      </m:oMathPara>
    </w:p>
    <w:p w14:paraId="470DF13D" w14:textId="5C155492" w:rsidR="00B92D04" w:rsidRPr="00B92D04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acc>
            <m:acc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accPr>
            <m:e>
              <m:sSup>
                <m:sSup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s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1</m:t>
              </m:r>
            </m:num>
            <m:den>
              <m:nary>
                <m:naryPr>
                  <m:chr m:val="∑"/>
                  <m:grow m:val="1"/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Cambria Math" w:hAnsi="Cambria Math" w:cs="Cambria Math"/>
                      <w:kern w:val="0"/>
                      <w:lang w:eastAsia="fr-CA"/>
                      <w14:ligatures w14:val="none"/>
                    </w:rPr>
                    <m:t>i=1</m:t>
                  </m:r>
                </m:sub>
                <m:sup>
                  <m:r>
                    <w:rPr>
                      <w:rFonts w:ascii="Cambria Math" w:eastAsia="Cambria Math" w:hAnsi="Cambria Math" w:cs="Cambria Math"/>
                      <w:kern w:val="0"/>
                      <w:lang w:eastAsia="fr-CA"/>
                      <w14:ligatures w14:val="none"/>
                    </w:rPr>
                    <m:t>I</m:t>
                  </m:r>
                </m:sup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-1)</m:t>
                  </m:r>
                </m:e>
              </m:nary>
            </m:den>
          </m:f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nary>
                <m:naryPr>
                  <m:chr m:val="∑"/>
                  <m:limLoc m:val="undOvr"/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naryPr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t=1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</m:sup>
                <m:e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×</m:t>
                  </m:r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it</m:t>
                              </m:r>
                            </m:sub>
                          </m:s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iw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01D81605" w14:textId="0BAC64B7" w:rsidR="00492BFF" w:rsidRPr="009111F4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ParaPr>
          <m:jc m:val="center"/>
        </m:oMathParaPr>
        <m:oMath>
          <m:acc>
            <m:acc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dPr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∙∙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∙∙</m:t>
                      </m:r>
                    </m:sub>
                  </m:s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-</m:t>
                  </m:r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naryPr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 w:cs="Times New Roman"/>
                                  <w:i/>
                                  <w:kern w:val="0"/>
                                  <w:lang w:eastAsia="fr-CA"/>
                                  <w14:ligatures w14:val="non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 w:hAnsi="Cambria Math" w:cs="Times New Roman"/>
                                  <w:kern w:val="0"/>
                                  <w:lang w:eastAsia="fr-CA"/>
                                  <w14:ligatures w14:val="none"/>
                                </w:rPr>
                                <m:t>i∙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2</m:t>
                          </m:r>
                        </m:sup>
                      </m:sSup>
                    </m:e>
                  </m:nary>
                </m:den>
              </m:f>
            </m:e>
          </m:d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i/>
                          <w:kern w:val="0"/>
                          <w:lang w:eastAsia="fr-CA"/>
                          <w14:ligatures w14:val="none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iw</m:t>
                          </m:r>
                        </m:sub>
                      </m:s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ww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2</m:t>
                  </m:r>
                </m:sup>
              </m:s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-</m:t>
              </m:r>
              <m:d>
                <m:d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I-1</m:t>
                  </m:r>
                </m:e>
              </m:d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×</m:t>
              </m:r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accPr>
                <m:e>
                  <m:sSup>
                    <m:sSup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p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2</m:t>
                      </m:r>
                    </m:sup>
                  </m:sSup>
                </m:e>
              </m:acc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)</m:t>
              </m:r>
            </m:e>
          </m:nary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Par la suite, nous devons calculer chaque </w:t>
      </w:r>
      <w:r w:rsidR="002C18C3" w:rsidRPr="009111F4">
        <w:rPr>
          <w:rFonts w:eastAsia="Times New Roman" w:cs="Times New Roman"/>
          <w:kern w:val="0"/>
          <w:lang w:eastAsia="fr-CA"/>
          <w14:ligatures w14:val="none"/>
        </w:rPr>
        <w:t>élément nécessaire</w:t>
      </w:r>
      <w:r w:rsidR="00B92D04" w:rsidRPr="009111F4">
        <w:rPr>
          <w:rFonts w:eastAsia="Times New Roman" w:cs="Times New Roman"/>
          <w:kern w:val="0"/>
          <w:lang w:eastAsia="fr-CA"/>
          <w14:ligatures w14:val="none"/>
        </w:rPr>
        <w:t xml:space="preserve"> dans le calcul de ces paramètres :</w:t>
      </w:r>
    </w:p>
    <w:p w14:paraId="59D16E85" w14:textId="6FA07DC5" w:rsidR="00492BFF" w:rsidRPr="00492BFF" w:rsidRDefault="00000000" w:rsidP="005B6D38">
      <w:pPr>
        <w:pStyle w:val="Paragraphedeliste"/>
        <w:spacing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it</m:t>
                  </m:r>
                </m:sub>
              </m:sSub>
            </m:e>
          </m:nary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∙∙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i/>
                      <w:kern w:val="0"/>
                      <w:lang w:eastAsia="fr-CA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w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  <m:t>i∙</m:t>
                  </m:r>
                </m:sub>
              </m:sSub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;   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it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  <m:t>i∙</m:t>
                      </m:r>
                    </m:sub>
                  </m:sSub>
                </m:den>
              </m:f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it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 xml:space="preserve">;   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ww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fr-CA"/>
              <w14:ligatures w14:val="none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</m:ctrlPr>
            </m:naryPr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t=1</m:t>
              </m:r>
            </m:sub>
            <m:sup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</m:t>
              </m:r>
            </m:sup>
            <m:e>
              <m:d>
                <m:dPr>
                  <m:ctrlPr>
                    <w:rPr>
                      <w:rFonts w:ascii="Cambria Math" w:eastAsia="Times New Roman" w:hAnsi="Cambria Math" w:cs="Times New Roman"/>
                      <w:kern w:val="0"/>
                      <w:lang w:eastAsia="fr-CA"/>
                      <w14:ligatures w14:val="none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lang w:eastAsia="fr-CA"/>
                          <w14:ligatures w14:val="none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i∙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 w:cs="Times New Roman"/>
                              <w:i/>
                              <w:kern w:val="0"/>
                              <w:lang w:eastAsia="fr-CA"/>
                              <w14:ligatures w14:val="non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eastAsia="Times New Roman" w:hAnsi="Cambria Math" w:cs="Times New Roman"/>
                              <w:kern w:val="0"/>
                              <w:lang w:eastAsia="fr-CA"/>
                              <w14:ligatures w14:val="none"/>
                            </w:rPr>
                            <m:t>∙∙</m:t>
                          </m:r>
                        </m:sub>
                      </m:sSub>
                    </m:den>
                  </m:f>
                </m:e>
              </m:d>
            </m:e>
          </m:nary>
          <m:sSub>
            <m:sSubPr>
              <m:ctrlPr>
                <w:rPr>
                  <w:rFonts w:ascii="Cambria Math" w:eastAsia="Times New Roman" w:hAnsi="Cambria Math" w:cs="Times New Roman"/>
                  <w:i/>
                  <w:kern w:val="0"/>
                  <w:lang w:eastAsia="fr-CA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X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fr-CA"/>
                  <w14:ligatures w14:val="none"/>
                </w:rPr>
                <m:t>iw</m:t>
              </m:r>
            </m:sub>
          </m:sSub>
          <m:r>
            <m:rPr>
              <m:sty m:val="p"/>
            </m:rPr>
            <w:rPr>
              <w:rFonts w:eastAsia="Times New Roman" w:cs="Times New Roman"/>
              <w:kern w:val="0"/>
              <w:lang w:eastAsia="fr-CA"/>
              <w14:ligatures w14:val="none"/>
            </w:rPr>
            <w:br/>
          </m:r>
        </m:oMath>
      </m:oMathPara>
    </w:p>
    <w:p w14:paraId="5289C0B4" w14:textId="1F53F182" w:rsidR="00492BFF" w:rsidRPr="00492BFF" w:rsidRDefault="009111F4" w:rsidP="005B6D38">
      <w:pPr>
        <w:pStyle w:val="Paragraphedeliste"/>
        <w:spacing w:before="100" w:beforeAutospacing="1" w:after="120" w:line="240" w:lineRule="auto"/>
        <w:contextualSpacing w:val="0"/>
        <w:jc w:val="both"/>
        <w:rPr>
          <w:rFonts w:eastAsia="Times New Roman" w:cs="Times New Roman"/>
          <w:kern w:val="0"/>
          <w:lang w:eastAsia="fr-CA"/>
          <w14:ligatures w14:val="none"/>
        </w:rPr>
      </w:pPr>
      <w:r>
        <w:rPr>
          <w:rFonts w:eastAsia="Times New Roman" w:cs="Times New Roman"/>
          <w:kern w:val="0"/>
          <w:lang w:eastAsia="fr-CA"/>
          <w14:ligatures w14:val="none"/>
        </w:rPr>
        <w:t>Enfin, nous allons combiner tous ces paramètres pour trouver l</w:t>
      </w:r>
      <w:r w:rsidR="00492BFF" w:rsidRPr="00492BFF">
        <w:rPr>
          <w:rFonts w:eastAsia="Times New Roman" w:cs="Times New Roman"/>
          <w:kern w:val="0"/>
          <w:lang w:eastAsia="fr-CA"/>
          <w14:ligatures w14:val="none"/>
        </w:rPr>
        <w:t>a prime de crédibilité de Bühlmann–Straub :</w:t>
      </w:r>
    </w:p>
    <w:p w14:paraId="120B14B9" w14:textId="56D2604D" w:rsidR="00492BFF" w:rsidRPr="00D50756" w:rsidRDefault="00000000" w:rsidP="00FD1ECE">
      <w:pPr>
        <w:pStyle w:val="Paragraphedeliste"/>
        <w:spacing w:after="120" w:line="240" w:lineRule="auto"/>
        <w:contextualSpacing w:val="0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fr-CA"/>
          <w14:ligatures w14:val="none"/>
        </w:rPr>
      </w:pPr>
      <m:oMath>
        <m:sSubSup>
          <m:sSubSup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SupPr>
          <m: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Π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i,n+1</m:t>
            </m:r>
          </m:sub>
          <m:sup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BS</m:t>
            </m:r>
          </m:sup>
        </m:sSubSup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m:rPr>
            <m:nor/>
          </m:rPr>
          <w:rPr>
            <w:rFonts w:ascii="Arial" w:eastAsia="Times New Roman" w:hAnsi="Arial" w:cs="Arial"/>
            <w:kern w:val="0"/>
            <w:lang w:eastAsia="fr-CA"/>
            <w14:ligatures w14:val="none"/>
          </w:rPr>
          <m:t> 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iw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+</m:t>
        </m:r>
        <m:d>
          <m:dPr>
            <m:ctrlPr>
              <w:rPr>
                <w:rFonts w:ascii="Cambria Math" w:eastAsia="Times New Roman" w:hAnsi="Cambria Math" w:cs="Times New Roman"/>
                <w:i/>
                <w:kern w:val="0"/>
                <w:lang w:eastAsia="fr-CA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1-</m:t>
            </m:r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Z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</m:t>
                </m:r>
              </m:sub>
            </m:sSub>
          </m:e>
        </m:d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m;</m:t>
        </m:r>
      </m:oMath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 </w:t>
      </w:r>
      <w:r w:rsidR="00492BFF" w:rsidRPr="00A85D5A">
        <w:rPr>
          <w:rFonts w:eastAsia="Times New Roman" w:cs="Times New Roman"/>
          <w:iCs/>
          <w:kern w:val="0"/>
          <w:lang w:eastAsia="fr-CA"/>
          <w14:ligatures w14:val="none"/>
        </w:rPr>
        <w:t>avec</w:t>
      </w:r>
      <w:r w:rsidR="00492BFF" w:rsidRPr="00492BFF">
        <w:rPr>
          <w:rFonts w:eastAsia="Times New Roman" w:cs="Times New Roman"/>
          <w:i/>
          <w:kern w:val="0"/>
          <w:lang w:eastAsia="fr-CA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Z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w</m:t>
                </m:r>
              </m:e>
              <m:sub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i∙</m:t>
                </m:r>
              </m:sub>
            </m:sSub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+</m:t>
            </m:r>
            <m:sSup>
              <m:sSupPr>
                <m:ctrlP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s</m:t>
                </m:r>
              </m:e>
              <m:sup>
                <m:r>
                  <w:rPr>
                    <w:rFonts w:ascii="Cambria Math" w:eastAsia="Times New Roman" w:hAnsi="Cambria Math" w:cs="Times New Roman"/>
                    <w:kern w:val="0"/>
                    <w:lang w:eastAsia="fr-CA"/>
                    <w14:ligatures w14:val="none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/</m:t>
            </m:r>
            <m:r>
              <w:rPr>
                <w:rFonts w:ascii="Cambria Math" w:eastAsia="Times New Roman" w:hAnsi="Cambria Math" w:cs="Times New Roman"/>
                <w:kern w:val="0"/>
                <w:lang w:eastAsia="fr-CA"/>
                <w14:ligatures w14:val="none"/>
              </w:rPr>
              <m:t>a</m:t>
            </m:r>
          </m:den>
        </m:f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CA"/>
            <w14:ligatures w14:val="none"/>
          </w:rPr>
          <m:t>.</m:t>
        </m:r>
      </m:oMath>
      <w:r w:rsidR="00492BFF" w:rsidRPr="00492BFF">
        <w:rPr>
          <w:rFonts w:ascii="Cambria Math" w:eastAsia="Times New Roman" w:hAnsi="Cambria Math" w:cs="Times New Roman"/>
          <w:kern w:val="0"/>
          <w:sz w:val="24"/>
          <w:szCs w:val="24"/>
          <w:lang w:eastAsia="fr-CA"/>
          <w14:ligatures w14:val="none"/>
        </w:rPr>
        <w:br/>
      </w:r>
    </w:p>
    <w:p w14:paraId="235F5FF5" w14:textId="64FA3FCB" w:rsidR="00E110DB" w:rsidRDefault="00E110DB" w:rsidP="005B6D38">
      <w:pPr>
        <w:pStyle w:val="Paragraphedeliste"/>
        <w:numPr>
          <w:ilvl w:val="0"/>
          <w:numId w:val="1"/>
        </w:numPr>
        <w:jc w:val="both"/>
        <w:rPr>
          <w:b/>
          <w:bCs/>
        </w:rPr>
      </w:pPr>
      <w:r w:rsidRPr="00D50756">
        <w:rPr>
          <w:b/>
          <w:bCs/>
        </w:rPr>
        <w:t>Expliquez brièvement comment vous comptez choisir votre modèle de prévision final.</w:t>
      </w:r>
    </w:p>
    <w:p w14:paraId="5A04EB21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Dans notre application, nous présentons trois modèles de crédibilité, soit les modèles bayésien, de Bühlmann et de Bühlmann-Straub, afin de comparer leurs performances.</w:t>
      </w:r>
    </w:p>
    <w:p w14:paraId="09BD2AD5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Le choix du modèle final repose sur une analyse de la performance prédictive à l’aide des données de test (rondes partielles), en utilisant des mesures telles que l’erreur absolue moyenne (MAE), l’erreur quadratique moyenne (RMSE) et le biais.</w:t>
      </w:r>
    </w:p>
    <w:p w14:paraId="3920D8B0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 xml:space="preserve">Bien que les trois modèles soient présentés dans l’application, le modèle de Bühlmann-Straub est particulièrement pertinent dans notre contexte puisqu’il permet de tenir compte de l’exposition au risque à l’aide de poids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w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it</m:t>
            </m:r>
          </m:sub>
        </m:sSub>
      </m:oMath>
      <w:r w:rsidRPr="00130D95">
        <w:rPr>
          <w:rFonts w:asciiTheme="minorHAnsi" w:hAnsiTheme="minorHAnsi"/>
          <w:sz w:val="22"/>
          <w:szCs w:val="22"/>
        </w:rPr>
        <w:t>, ce qui est cohérent avec la structure des données observées.</w:t>
      </w:r>
    </w:p>
    <w:p w14:paraId="3C25B154" w14:textId="77777777" w:rsidR="004C398E" w:rsidRPr="00130D95" w:rsidRDefault="004C398E" w:rsidP="005B6D38">
      <w:pPr>
        <w:pStyle w:val="NormalWeb"/>
        <w:ind w:left="720"/>
        <w:jc w:val="both"/>
        <w:rPr>
          <w:rFonts w:asciiTheme="minorHAnsi" w:hAnsiTheme="minorHAnsi"/>
          <w:sz w:val="22"/>
          <w:szCs w:val="22"/>
        </w:rPr>
      </w:pPr>
      <w:r w:rsidRPr="00130D95">
        <w:rPr>
          <w:rFonts w:asciiTheme="minorHAnsi" w:hAnsiTheme="minorHAnsi"/>
          <w:sz w:val="22"/>
          <w:szCs w:val="22"/>
        </w:rPr>
        <w:t>Ainsi, en fonction des résultats empiriques et de la capacité du modèle à bien représenter l’exposition, le modèle de Bühlmann-Straub peut être recommandé comme modèle principal.</w:t>
      </w:r>
    </w:p>
    <w:p w14:paraId="72F7B30E" w14:textId="701112A3" w:rsidR="003F4800" w:rsidRPr="003F4800" w:rsidRDefault="003F4800" w:rsidP="005B6D38">
      <w:pPr>
        <w:pStyle w:val="Paragraphedeliste"/>
        <w:jc w:val="both"/>
        <w:rPr>
          <w:b/>
          <w:bCs/>
        </w:rPr>
      </w:pPr>
    </w:p>
    <w:sectPr w:rsidR="003F4800" w:rsidRPr="003F4800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416D80"/>
    <w:multiLevelType w:val="hybridMultilevel"/>
    <w:tmpl w:val="C58C058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84076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0DB"/>
    <w:rsid w:val="000B291B"/>
    <w:rsid w:val="000E7306"/>
    <w:rsid w:val="00130D95"/>
    <w:rsid w:val="00157C99"/>
    <w:rsid w:val="001A3FB6"/>
    <w:rsid w:val="001C16FE"/>
    <w:rsid w:val="001D5ACB"/>
    <w:rsid w:val="001E6E98"/>
    <w:rsid w:val="00236AB7"/>
    <w:rsid w:val="002C18C3"/>
    <w:rsid w:val="00300F02"/>
    <w:rsid w:val="00335D4B"/>
    <w:rsid w:val="003A78A3"/>
    <w:rsid w:val="003F4800"/>
    <w:rsid w:val="00400BA0"/>
    <w:rsid w:val="00465001"/>
    <w:rsid w:val="00492BFF"/>
    <w:rsid w:val="004A5736"/>
    <w:rsid w:val="004C398E"/>
    <w:rsid w:val="00557063"/>
    <w:rsid w:val="005A0C1F"/>
    <w:rsid w:val="005B6D38"/>
    <w:rsid w:val="005E32C8"/>
    <w:rsid w:val="00635DA2"/>
    <w:rsid w:val="006D4B03"/>
    <w:rsid w:val="00734540"/>
    <w:rsid w:val="007345DF"/>
    <w:rsid w:val="0076539C"/>
    <w:rsid w:val="008038C0"/>
    <w:rsid w:val="00832217"/>
    <w:rsid w:val="008869D8"/>
    <w:rsid w:val="009111F4"/>
    <w:rsid w:val="00913043"/>
    <w:rsid w:val="00953ADA"/>
    <w:rsid w:val="00A24C4B"/>
    <w:rsid w:val="00A542B3"/>
    <w:rsid w:val="00A73723"/>
    <w:rsid w:val="00A85D5A"/>
    <w:rsid w:val="00AC79C3"/>
    <w:rsid w:val="00AC7B8C"/>
    <w:rsid w:val="00B87BF5"/>
    <w:rsid w:val="00B92D04"/>
    <w:rsid w:val="00BB32B8"/>
    <w:rsid w:val="00BE00D4"/>
    <w:rsid w:val="00BE6ED4"/>
    <w:rsid w:val="00C02431"/>
    <w:rsid w:val="00C223FD"/>
    <w:rsid w:val="00C312FE"/>
    <w:rsid w:val="00CE41E2"/>
    <w:rsid w:val="00D13A85"/>
    <w:rsid w:val="00D237A4"/>
    <w:rsid w:val="00D50756"/>
    <w:rsid w:val="00E00764"/>
    <w:rsid w:val="00E110DB"/>
    <w:rsid w:val="00E36ACE"/>
    <w:rsid w:val="00E528D8"/>
    <w:rsid w:val="00EB2C10"/>
    <w:rsid w:val="00F240E9"/>
    <w:rsid w:val="00F63B2F"/>
    <w:rsid w:val="00FD1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E1E03E"/>
  <w15:chartTrackingRefBased/>
  <w15:docId w15:val="{F3377A6B-3081-4859-811C-776D90C14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10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10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10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10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10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10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10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10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10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10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10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10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10D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10D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10D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10D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10D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10D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10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10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10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10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10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10D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10D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10D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10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10D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10D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492B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CA"/>
      <w14:ligatures w14:val="none"/>
    </w:rPr>
  </w:style>
  <w:style w:type="character" w:styleId="Textedelespacerserv">
    <w:name w:val="Placeholder Text"/>
    <w:basedOn w:val="Policepardfaut"/>
    <w:uiPriority w:val="99"/>
    <w:semiHidden/>
    <w:rsid w:val="00B92D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4E2965E001094BB667583607E2D7E3" ma:contentTypeVersion="8" ma:contentTypeDescription="Create a new document." ma:contentTypeScope="" ma:versionID="73661d776941e9e3c710a32cd248c220">
  <xsd:schema xmlns:xsd="http://www.w3.org/2001/XMLSchema" xmlns:xs="http://www.w3.org/2001/XMLSchema" xmlns:p="http://schemas.microsoft.com/office/2006/metadata/properties" xmlns:ns3="7cd8c61a-fd18-4603-8755-d91a22d67d2b" xmlns:ns4="1f336702-64c3-405d-b44c-b3f5d9ffe49b" targetNamespace="http://schemas.microsoft.com/office/2006/metadata/properties" ma:root="true" ma:fieldsID="ba50763595f2e038a40d1a9ef53661d7" ns3:_="" ns4:_="">
    <xsd:import namespace="7cd8c61a-fd18-4603-8755-d91a22d67d2b"/>
    <xsd:import namespace="1f336702-64c3-405d-b44c-b3f5d9ffe49b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d8c61a-fd18-4603-8755-d91a22d67d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336702-64c3-405d-b44c-b3f5d9ffe49b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7cd8c61a-fd18-4603-8755-d91a22d67d2b" xsi:nil="true"/>
  </documentManagement>
</p:properties>
</file>

<file path=customXml/itemProps1.xml><?xml version="1.0" encoding="utf-8"?>
<ds:datastoreItem xmlns:ds="http://schemas.openxmlformats.org/officeDocument/2006/customXml" ds:itemID="{DFF3C3D9-2FD0-49BB-9541-8E240B5F0E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d8c61a-fd18-4603-8755-d91a22d67d2b"/>
    <ds:schemaRef ds:uri="1f336702-64c3-405d-b44c-b3f5d9ffe49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F2ACCA-A08C-447D-9B60-491EFF60D57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46B2DC-6610-43C6-86D1-D3F5854E6D47}">
  <ds:schemaRefs>
    <ds:schemaRef ds:uri="http://schemas.microsoft.com/office/2006/metadata/properties"/>
    <ds:schemaRef ds:uri="http://schemas.microsoft.com/office/infopath/2007/PartnerControls"/>
    <ds:schemaRef ds:uri="7cd8c61a-fd18-4603-8755-d91a22d67d2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639</Words>
  <Characters>3544</Characters>
  <Application>Microsoft Office Word</Application>
  <DocSecurity>0</DocSecurity>
  <Lines>70</Lines>
  <Paragraphs>36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Marc-Antoine Dion</dc:creator>
  <cp:keywords/>
  <dc:description/>
  <cp:lastModifiedBy>Marc-Antoine Dion</cp:lastModifiedBy>
  <cp:revision>11</cp:revision>
  <dcterms:created xsi:type="dcterms:W3CDTF">2026-03-24T14:47:00Z</dcterms:created>
  <dcterms:modified xsi:type="dcterms:W3CDTF">2026-03-26T20:29:00Z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0x010100C34E2965E001094BB667583607E2D7E3</vt:lpwstr>
  </property>
</Properties>
</file>