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25AA7" w14:textId="0CA494AD" w:rsidR="008038C0" w:rsidRPr="008038C0" w:rsidRDefault="008038C0" w:rsidP="008038C0">
      <w:pPr>
        <w:pStyle w:val="Paragraphedeliste"/>
        <w:contextualSpacing w:val="0"/>
        <w:jc w:val="center"/>
        <w:rPr>
          <w:b/>
          <w:bCs/>
        </w:rPr>
      </w:pPr>
      <w:r w:rsidRPr="008038C0">
        <w:rPr>
          <w:b/>
          <w:bCs/>
        </w:rPr>
        <w:t xml:space="preserve">ACT-2008 </w:t>
      </w:r>
      <w:r w:rsidR="00EB2C10">
        <w:rPr>
          <w:b/>
          <w:bCs/>
        </w:rPr>
        <w:t>–</w:t>
      </w:r>
      <w:r w:rsidRPr="008038C0">
        <w:rPr>
          <w:b/>
          <w:bCs/>
        </w:rPr>
        <w:t xml:space="preserve"> </w:t>
      </w:r>
      <w:r w:rsidR="00EB2C10">
        <w:rPr>
          <w:b/>
          <w:bCs/>
        </w:rPr>
        <w:t>Café du savoir 3</w:t>
      </w:r>
    </w:p>
    <w:p w14:paraId="451C6D1E" w14:textId="3555529F" w:rsidR="008038C0" w:rsidRPr="008038C0" w:rsidRDefault="008038C0" w:rsidP="008038C0">
      <w:pPr>
        <w:pStyle w:val="Paragraphedeliste"/>
        <w:contextualSpacing w:val="0"/>
        <w:jc w:val="center"/>
        <w:rPr>
          <w:b/>
          <w:bCs/>
        </w:rPr>
      </w:pPr>
      <w:r w:rsidRPr="008038C0">
        <w:rPr>
          <w:b/>
          <w:bCs/>
        </w:rPr>
        <w:t>Équipe 17 :</w:t>
      </w:r>
    </w:p>
    <w:p w14:paraId="6E92F76E" w14:textId="254F62B3" w:rsidR="008038C0" w:rsidRPr="008038C0" w:rsidRDefault="008038C0" w:rsidP="008038C0">
      <w:pPr>
        <w:pStyle w:val="Paragraphedeliste"/>
        <w:spacing w:after="0"/>
        <w:jc w:val="center"/>
        <w:rPr>
          <w:b/>
          <w:bCs/>
        </w:rPr>
      </w:pPr>
      <w:r w:rsidRPr="008038C0">
        <w:rPr>
          <w:b/>
          <w:bCs/>
        </w:rPr>
        <w:t>Joël Ducasse (537 166 308),</w:t>
      </w:r>
    </w:p>
    <w:p w14:paraId="172B2782" w14:textId="718A24B2" w:rsidR="008038C0" w:rsidRPr="008038C0" w:rsidRDefault="008038C0" w:rsidP="008038C0">
      <w:pPr>
        <w:pStyle w:val="Paragraphedeliste"/>
        <w:spacing w:after="0"/>
        <w:jc w:val="center"/>
        <w:rPr>
          <w:b/>
          <w:bCs/>
        </w:rPr>
      </w:pPr>
      <w:r w:rsidRPr="008038C0">
        <w:rPr>
          <w:b/>
          <w:bCs/>
        </w:rPr>
        <w:t>Alexandre Quirion (537 169 187),</w:t>
      </w:r>
    </w:p>
    <w:p w14:paraId="6D97531B" w14:textId="5BAEBF4B" w:rsidR="008038C0" w:rsidRPr="008038C0" w:rsidRDefault="008038C0" w:rsidP="008038C0">
      <w:pPr>
        <w:pStyle w:val="Paragraphedeliste"/>
        <w:spacing w:after="0"/>
        <w:jc w:val="center"/>
        <w:rPr>
          <w:b/>
          <w:bCs/>
        </w:rPr>
      </w:pPr>
      <w:r w:rsidRPr="008038C0">
        <w:rPr>
          <w:b/>
          <w:bCs/>
        </w:rPr>
        <w:t>Ahlin Roland Césaire Tchintchin (536 793 919) et</w:t>
      </w:r>
    </w:p>
    <w:p w14:paraId="615C2B71" w14:textId="77777777" w:rsidR="008038C0" w:rsidRPr="008038C0" w:rsidRDefault="008038C0" w:rsidP="008038C0">
      <w:pPr>
        <w:pStyle w:val="Paragraphedeliste"/>
        <w:contextualSpacing w:val="0"/>
        <w:jc w:val="center"/>
        <w:rPr>
          <w:b/>
          <w:bCs/>
        </w:rPr>
      </w:pPr>
      <w:r w:rsidRPr="008038C0">
        <w:rPr>
          <w:b/>
          <w:bCs/>
        </w:rPr>
        <w:t>Marc-Antoine Dion (537 170 284)</w:t>
      </w:r>
    </w:p>
    <w:p w14:paraId="27FB78FA" w14:textId="77777777" w:rsidR="008038C0" w:rsidRDefault="008038C0" w:rsidP="008038C0">
      <w:pPr>
        <w:pStyle w:val="Paragraphedeliste"/>
        <w:contextualSpacing w:val="0"/>
        <w:jc w:val="center"/>
        <w:rPr>
          <w:b/>
          <w:bCs/>
        </w:rPr>
      </w:pPr>
      <w:r w:rsidRPr="008038C0">
        <w:rPr>
          <w:b/>
          <w:bCs/>
        </w:rPr>
        <w:t>Le 26 mars 2026</w:t>
      </w:r>
    </w:p>
    <w:p w14:paraId="5B04B8E7" w14:textId="77777777" w:rsidR="008038C0" w:rsidRPr="008038C0" w:rsidRDefault="008038C0" w:rsidP="008038C0">
      <w:pPr>
        <w:pStyle w:val="Paragraphedeliste"/>
        <w:contextualSpacing w:val="0"/>
        <w:jc w:val="center"/>
        <w:rPr>
          <w:b/>
          <w:bCs/>
        </w:rPr>
      </w:pPr>
    </w:p>
    <w:p w14:paraId="01AE5AC7" w14:textId="214548EC" w:rsidR="00B87BF5" w:rsidRDefault="00E110DB" w:rsidP="00B87BF5">
      <w:pPr>
        <w:pStyle w:val="Paragraphedeliste"/>
        <w:numPr>
          <w:ilvl w:val="0"/>
          <w:numId w:val="1"/>
        </w:numPr>
        <w:rPr>
          <w:b/>
          <w:bCs/>
        </w:rPr>
      </w:pPr>
      <w:r w:rsidRPr="002C18C3">
        <w:rPr>
          <w:b/>
          <w:bCs/>
        </w:rPr>
        <w:t xml:space="preserve">Comment peut-on mesurer </w:t>
      </w:r>
      <w:r w:rsidR="00A542B3" w:rsidRPr="002C18C3">
        <w:rPr>
          <w:b/>
          <w:bCs/>
        </w:rPr>
        <w:t>l’ «</w:t>
      </w:r>
      <w:r w:rsidRPr="002C18C3">
        <w:rPr>
          <w:b/>
          <w:bCs/>
        </w:rPr>
        <w:t xml:space="preserve"> exposition au risque » dans le contexte du mandat?</w:t>
      </w:r>
    </w:p>
    <w:p w14:paraId="7159BFAA" w14:textId="77777777" w:rsidR="00465001" w:rsidRDefault="00400BA0" w:rsidP="00300F02">
      <w:pPr>
        <w:pStyle w:val="Paragraphedeliste"/>
        <w:contextualSpacing w:val="0"/>
      </w:pPr>
      <w:r w:rsidRPr="00B87BF5">
        <w:t>Selon notre contexte et le modèle de crédibilité Bühlmann-St</w:t>
      </w:r>
      <w:r w:rsidR="008038C0">
        <w:t>r</w:t>
      </w:r>
      <w:r w:rsidRPr="00B87BF5">
        <w:t xml:space="preserve">aud, l’exposition au risque peut être mesurée par un poids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</m:oMath>
      <w:r w:rsidR="003A78A3" w:rsidRPr="00B87BF5">
        <w:t>.</w:t>
      </w:r>
      <w:r w:rsidRPr="00B87BF5">
        <w:t xml:space="preserve"> </w:t>
      </w:r>
      <w:r w:rsidR="00A542B3" w:rsidRPr="00300F02">
        <w:t xml:space="preserve">Le poids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A542B3" w:rsidRPr="00300F02">
        <w:t xml:space="preserve">représente la quantité d’exposition au risque associée à l’assuré pendant la période considérée. </w:t>
      </w:r>
    </w:p>
    <w:p w14:paraId="2084104B" w14:textId="42F8468C" w:rsidR="00A542B3" w:rsidRDefault="00A542B3" w:rsidP="00300F02">
      <w:pPr>
        <w:pStyle w:val="Paragraphedeliste"/>
        <w:contextualSpacing w:val="0"/>
      </w:pPr>
      <w:r w:rsidRPr="00300F02">
        <w:t>Cette période n’est pas nécessairement une année : elle peut correspondre, selon le contexte, à un trimestre, un semestre, une année ou toute autre unité de temps pertinente. Par ailleurs, l’exposition au risque peut être mesurée de différentes façons. Elle peut, par exemple, être évaluée à l’aide du nombre d’employés couverts ou encore de la masse salariale de l’employeur.</w:t>
      </w:r>
    </w:p>
    <w:p w14:paraId="16719796" w14:textId="190F1009" w:rsidR="001A3FB6" w:rsidRPr="001A3FB6" w:rsidRDefault="001A3FB6" w:rsidP="001A3FB6">
      <w:pPr>
        <w:pStyle w:val="Paragraphedeliste"/>
        <w:contextualSpacing w:val="0"/>
      </w:pPr>
      <w:r>
        <w:t>Pour notre travail</w:t>
      </w:r>
      <w:r w:rsidRPr="001A3FB6">
        <w:t>,</w:t>
      </w:r>
      <w:r>
        <w:t xml:space="preserve"> nous considérons que</w:t>
      </w:r>
      <w:r w:rsidRPr="001A3FB6">
        <w:t xml:space="preserve"> cette exposition correspond à l’information disponible sur la performance d’un quatuor à partir des trous joués</w:t>
      </w:r>
      <w:r>
        <w:t xml:space="preserve"> précédemment</w:t>
      </w:r>
      <w:r w:rsidRPr="001A3FB6">
        <w:t xml:space="preserve">. </w:t>
      </w:r>
      <w:r>
        <w:t>Nous avons donc décidé de considérer que chaque trou joué correspond à une unité d’exposition.</w:t>
      </w:r>
    </w:p>
    <w:p w14:paraId="1ED11209" w14:textId="37F77150" w:rsidR="001A3FB6" w:rsidRPr="001A3FB6" w:rsidRDefault="001A3FB6" w:rsidP="001A3FB6">
      <w:pPr>
        <w:pStyle w:val="Paragraphedeliste"/>
        <w:contextualSpacing w:val="0"/>
      </w:pPr>
      <w:r>
        <w:t xml:space="preserve">De plus, nous pouvons tenir compte des caractéristiques différentes des trous dans le parcours de golf. Pour réaliser ceci, on considère les poids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</m:oMath>
      <w:r>
        <w:rPr>
          <w:rFonts w:eastAsiaTheme="minorEastAsia"/>
        </w:rPr>
        <w:t xml:space="preserve"> sont </w:t>
      </w:r>
      <w:r w:rsidRPr="001A3FB6">
        <w:t>indépendants des scores observés.</w:t>
      </w:r>
      <w:r>
        <w:t xml:space="preserve"> </w:t>
      </w:r>
    </w:p>
    <w:p w14:paraId="55ADB41E" w14:textId="77777777" w:rsidR="001A3FB6" w:rsidRPr="001A3FB6" w:rsidRDefault="001A3FB6" w:rsidP="001A3FB6">
      <w:pPr>
        <w:pStyle w:val="Paragraphedeliste"/>
        <w:contextualSpacing w:val="0"/>
      </w:pPr>
      <w:r w:rsidRPr="001A3FB6">
        <w:t>L’exposition totale d’un quatuor est alors :</w:t>
      </w:r>
    </w:p>
    <w:p w14:paraId="0B640787" w14:textId="528E7E6E" w:rsidR="00400BA0" w:rsidRPr="00465001" w:rsidRDefault="001A3FB6" w:rsidP="001A3FB6">
      <w:pPr>
        <w:pStyle w:val="Paragraphedeliste"/>
        <w:contextualSpacing w:val="0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t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it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.</m:t>
          </m:r>
          <m:r>
            <w:br/>
          </m:r>
        </m:oMath>
      </m:oMathPara>
      <w:r w:rsidR="00D13A85" w:rsidRPr="00B87BF5">
        <w:t xml:space="preserve">Dans le modèle de </w:t>
      </w:r>
      <w:proofErr w:type="spellStart"/>
      <w:r w:rsidR="00D13A85" w:rsidRPr="00B87BF5">
        <w:t>Bühlmann-Straud</w:t>
      </w:r>
      <w:proofErr w:type="spellEnd"/>
      <w:r>
        <w:t xml:space="preserve"> et selon le contexte de notre travail</w:t>
      </w:r>
      <w:r w:rsidR="00953ADA" w:rsidRPr="00B87BF5">
        <w:t xml:space="preserve">, </w:t>
      </w:r>
      <w:r>
        <w:t xml:space="preserve">nous définissons </w:t>
      </w:r>
      <w:r w:rsidR="008869D8">
        <w:t xml:space="preserve">la variable observée par unité d’observation de la manière suivante </w:t>
      </w:r>
      <w:r w:rsidR="00400BA0" w:rsidRPr="00B87BF5">
        <w:t>:</w:t>
      </w:r>
    </w:p>
    <w:p w14:paraId="2A8A465E" w14:textId="3F9529A9" w:rsidR="00E528D8" w:rsidRPr="00E528D8" w:rsidRDefault="00000000" w:rsidP="00400BA0">
      <w:pPr>
        <w:pStyle w:val="Paragraphedeliste"/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it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Par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</m:oMath>
      </m:oMathPara>
    </w:p>
    <w:p w14:paraId="4F92F5CD" w14:textId="0D6E77F2" w:rsidR="00400BA0" w:rsidRPr="001D5ACB" w:rsidRDefault="00E528D8" w:rsidP="00400BA0">
      <w:pPr>
        <w:pStyle w:val="Paragraphedeliste"/>
        <w:rPr>
          <w:b/>
          <w:bCs/>
        </w:rPr>
      </w:pPr>
      <w:r w:rsidRPr="001D5ACB">
        <w:t>Dans le modèle de Bühlmann-Str</w:t>
      </w:r>
      <w:r w:rsidR="001D5ACB" w:rsidRPr="001D5ACB">
        <w:t>a</w:t>
      </w:r>
      <w:r w:rsidRPr="001D5ACB">
        <w:t>ud</w:t>
      </w:r>
      <w:r w:rsidR="000E7306" w:rsidRPr="001D5ACB">
        <w:t xml:space="preserve">, le poids </w:t>
      </w:r>
      <w:r w:rsidR="001D5ACB" w:rsidRPr="001D5ACB">
        <w:t>a</w:t>
      </w:r>
      <w:r w:rsidR="000E7306" w:rsidRPr="001D5ACB">
        <w:t xml:space="preserve"> donc un impact sur </w:t>
      </w:r>
      <w:r w:rsidR="00E36ACE" w:rsidRPr="001D5ACB">
        <w:t>l’unité d’exposition.</w:t>
      </w:r>
      <w:r w:rsidR="001D5ACB" w:rsidRPr="001D5ACB">
        <w:t xml:space="preserve"> Et le poids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</m:oMath>
      <w:r w:rsidR="001D5ACB" w:rsidRPr="001D5ACB">
        <w:rPr>
          <w:rFonts w:eastAsiaTheme="minorEastAsia"/>
        </w:rPr>
        <w:t>) représente l’exposition au risque.</w:t>
      </w:r>
      <w:r w:rsidR="00400BA0" w:rsidRPr="001D5ACB">
        <w:br/>
      </w:r>
    </w:p>
    <w:p w14:paraId="20A349B4" w14:textId="77777777" w:rsidR="00E110DB" w:rsidRPr="002C18C3" w:rsidRDefault="00E110DB" w:rsidP="00E110DB">
      <w:pPr>
        <w:pStyle w:val="Paragraphedeliste"/>
        <w:numPr>
          <w:ilvl w:val="0"/>
          <w:numId w:val="1"/>
        </w:numPr>
        <w:rPr>
          <w:b/>
          <w:bCs/>
        </w:rPr>
      </w:pPr>
      <w:r w:rsidRPr="002C18C3">
        <w:rPr>
          <w:b/>
          <w:bCs/>
        </w:rPr>
        <w:t>Exprimez sous forme mathématique le troisième modèle de crédibilité que vous comptez étudier.</w:t>
      </w:r>
    </w:p>
    <w:p w14:paraId="4B10E390" w14:textId="6EC6F5BD" w:rsidR="001C16FE" w:rsidRPr="001C16FE" w:rsidRDefault="00492BFF" w:rsidP="001C16FE">
      <w:pPr>
        <w:pStyle w:val="Paragraphedeliste"/>
        <w:spacing w:before="100" w:beforeAutospacing="1" w:after="120" w:line="240" w:lineRule="auto"/>
        <w:contextualSpacing w:val="0"/>
        <w:rPr>
          <w:rFonts w:eastAsia="Times New Roman" w:cs="Times New Roman"/>
          <w:kern w:val="0"/>
          <w:lang w:eastAsia="fr-CA"/>
          <w14:ligatures w14:val="none"/>
        </w:rPr>
      </w:pPr>
      <w:r>
        <w:rPr>
          <w:rFonts w:eastAsia="Times New Roman" w:cs="Times New Roman"/>
          <w:kern w:val="0"/>
          <w:lang w:eastAsia="fr-CA"/>
          <w14:ligatures w14:val="none"/>
        </w:rPr>
        <w:t>Le troisième et dernier modèle que nous allons inclure dans notre</w:t>
      </w:r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 application est le modèle de Bühlmann-Strau</w:t>
      </w:r>
      <w:r w:rsidR="00AC7B8C">
        <w:rPr>
          <w:rFonts w:eastAsia="Times New Roman" w:cs="Times New Roman"/>
          <w:kern w:val="0"/>
          <w:lang w:eastAsia="fr-CA"/>
          <w14:ligatures w14:val="none"/>
        </w:rPr>
        <w:t>b</w:t>
      </w:r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. Plus précisément, nous allons inclure la méthode la méthode paramétrique comme nous l’avons vue en classe. Voici les différents paramètres à calculer </w:t>
      </w:r>
      <w:r w:rsidR="00E00764">
        <w:rPr>
          <w:rFonts w:eastAsia="Times New Roman" w:cs="Times New Roman"/>
          <w:kern w:val="0"/>
          <w:lang w:eastAsia="fr-CA"/>
          <w14:ligatures w14:val="none"/>
        </w:rPr>
        <w:lastRenderedPageBreak/>
        <w:t>pour ce modèle de prévision :</w:t>
      </w:r>
      <w:r w:rsidRPr="00E00764">
        <w:rPr>
          <w:rFonts w:eastAsia="Times New Roman" w:cs="Times New Roman"/>
          <w:kern w:val="0"/>
          <w:lang w:eastAsia="fr-CA"/>
          <w14:ligatures w14:val="none"/>
        </w:rPr>
        <w:br/>
      </w:r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Calcul des paramètres </w:t>
      </w:r>
      <m:oMath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m</m:t>
        </m:r>
      </m:oMath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, </w:t>
      </w:r>
      <m:oMath>
        <m:sSup>
          <m:sSup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s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2</m:t>
            </m:r>
          </m:sup>
        </m:sSup>
      </m:oMath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 et </w:t>
      </w:r>
      <m:oMath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a</m:t>
        </m:r>
      </m:oMath>
      <w:r w:rsidRPr="00E00764">
        <w:rPr>
          <w:rFonts w:eastAsia="Times New Roman" w:cs="Times New Roman"/>
          <w:kern w:val="0"/>
          <w:lang w:eastAsia="fr-CA"/>
          <w14:ligatures w14:val="none"/>
        </w:rPr>
        <w:t>:</w:t>
      </w:r>
    </w:p>
    <w:p w14:paraId="01DCCEFB" w14:textId="27755552" w:rsidR="00B92D04" w:rsidRPr="001C16FE" w:rsidRDefault="001C16FE" w:rsidP="001C16FE">
      <w:pPr>
        <w:pStyle w:val="Paragraphedeliste"/>
        <w:spacing w:after="120" w:line="240" w:lineRule="auto"/>
        <w:contextualSpacing w:val="0"/>
        <w:jc w:val="center"/>
        <w:rPr>
          <w:rFonts w:eastAsia="Times New Roman" w:cs="Times New Roman"/>
          <w:kern w:val="0"/>
          <w:lang w:eastAsia="fr-CA"/>
          <w14:ligatures w14:val="none"/>
        </w:rPr>
      </w:pPr>
      <m:oMathPara>
        <m:oMath>
          <m:acc>
            <m:acc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m</m:t>
              </m:r>
            </m:e>
          </m:acc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zw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∙</m:t>
                          </m:r>
                        </m:sub>
                      </m:sSub>
                    </m:den>
                  </m:f>
                </m:e>
              </m:d>
            </m:e>
          </m:nary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×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iw</m:t>
              </m:r>
            </m:sub>
          </m:sSub>
        </m:oMath>
      </m:oMathPara>
    </w:p>
    <w:p w14:paraId="470DF13D" w14:textId="7CEC8B4C" w:rsidR="00B92D04" w:rsidRPr="00B92D04" w:rsidRDefault="00000000" w:rsidP="00D50756">
      <w:pPr>
        <w:pStyle w:val="Paragraphedeliste"/>
        <w:spacing w:after="120" w:line="240" w:lineRule="auto"/>
        <w:contextualSpacing w:val="0"/>
        <w:rPr>
          <w:rFonts w:eastAsia="Times New Roman" w:cs="Times New Roman"/>
          <w:kern w:val="0"/>
          <w:lang w:eastAsia="fr-CA"/>
          <w14:ligatures w14:val="none"/>
        </w:rPr>
      </w:pPr>
      <m:oMathPara>
        <m:oMath>
          <m:acc>
            <m:acc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acc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s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2</m:t>
                  </m:r>
                </m:sup>
              </m:sSup>
            </m:e>
          </m:acc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I(n-1)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t=1</m:t>
                  </m:r>
                </m:sub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it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×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lang w:eastAsia="fr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it</m:t>
                              </m:r>
                            </m:sub>
                          </m:s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lang w:eastAsia="fr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iw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2</m:t>
                      </m:r>
                    </m:sup>
                  </m:sSup>
                </m:e>
              </m:nary>
            </m:e>
          </m:nary>
        </m:oMath>
      </m:oMathPara>
    </w:p>
    <w:p w14:paraId="01D81605" w14:textId="3EC928EE" w:rsidR="00492BFF" w:rsidRPr="009111F4" w:rsidRDefault="00000000" w:rsidP="00D50756">
      <w:pPr>
        <w:pStyle w:val="Paragraphedeliste"/>
        <w:spacing w:after="120" w:line="240" w:lineRule="auto"/>
        <w:contextualSpacing w:val="0"/>
        <w:rPr>
          <w:rFonts w:eastAsia="Times New Roman" w:cs="Times New Roman"/>
          <w:kern w:val="0"/>
          <w:lang w:eastAsia="fr-CA"/>
          <w14:ligatures w14:val="none"/>
        </w:rPr>
      </w:pPr>
      <m:oMathPara>
        <m:oMathParaPr>
          <m:jc m:val="center"/>
        </m:oMathParaPr>
        <m:oMath>
          <m:acc>
            <m:acc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a</m:t>
              </m:r>
            </m:e>
          </m:acc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i∙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×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iw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ww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2</m:t>
                  </m:r>
                </m:sup>
              </m:sSup>
            </m:e>
          </m:nary>
          <m:r>
            <m:rPr>
              <m:sty m:val="p"/>
            </m:rPr>
            <w:rPr>
              <w:rFonts w:eastAsia="Times New Roman" w:cs="Times New Roman"/>
              <w:kern w:val="0"/>
              <w:lang w:eastAsia="fr-CA"/>
              <w14:ligatures w14:val="none"/>
            </w:rPr>
            <w:br/>
          </m:r>
        </m:oMath>
      </m:oMathPara>
      <w:r w:rsidR="00B92D04" w:rsidRPr="009111F4">
        <w:rPr>
          <w:rFonts w:eastAsia="Times New Roman" w:cs="Times New Roman"/>
          <w:kern w:val="0"/>
          <w:lang w:eastAsia="fr-CA"/>
          <w14:ligatures w14:val="none"/>
        </w:rPr>
        <w:t xml:space="preserve">Par la suite, nous devons calculer chaque </w:t>
      </w:r>
      <w:r w:rsidR="002C18C3" w:rsidRPr="009111F4">
        <w:rPr>
          <w:rFonts w:eastAsia="Times New Roman" w:cs="Times New Roman"/>
          <w:kern w:val="0"/>
          <w:lang w:eastAsia="fr-CA"/>
          <w14:ligatures w14:val="none"/>
        </w:rPr>
        <w:t>élément nécessaire</w:t>
      </w:r>
      <w:r w:rsidR="00B92D04" w:rsidRPr="009111F4">
        <w:rPr>
          <w:rFonts w:eastAsia="Times New Roman" w:cs="Times New Roman"/>
          <w:kern w:val="0"/>
          <w:lang w:eastAsia="fr-CA"/>
          <w14:ligatures w14:val="none"/>
        </w:rPr>
        <w:t xml:space="preserve"> dans le calcul de ces paramètres :</w:t>
      </w:r>
    </w:p>
    <w:p w14:paraId="59D16E85" w14:textId="0832917C" w:rsidR="00492BFF" w:rsidRPr="00492BFF" w:rsidRDefault="00000000" w:rsidP="00D50756">
      <w:pPr>
        <w:pStyle w:val="Paragraphedeliste"/>
        <w:spacing w:after="120" w:line="240" w:lineRule="auto"/>
        <w:contextualSpacing w:val="0"/>
        <w:rPr>
          <w:rFonts w:eastAsia="Times New Roman" w:cs="Times New Roman"/>
          <w:kern w:val="0"/>
          <w:lang w:eastAsia="fr-CA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i∙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t=1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it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 xml:space="preserve">;  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∙∙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i∙</m:t>
                  </m:r>
                </m:sub>
              </m:sSub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;   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iw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t=1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it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i∙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 xml:space="preserve">;   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ww∙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t=1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i∙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∙∙</m:t>
                          </m:r>
                        </m:sub>
                      </m:sSub>
                    </m:den>
                  </m:f>
                </m:e>
              </m:d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iw</m:t>
              </m:r>
            </m:sub>
          </m:sSub>
          <m:r>
            <m:rPr>
              <m:sty m:val="p"/>
            </m:rPr>
            <w:rPr>
              <w:rFonts w:eastAsia="Times New Roman" w:cs="Times New Roman"/>
              <w:kern w:val="0"/>
              <w:lang w:eastAsia="fr-CA"/>
              <w14:ligatures w14:val="none"/>
            </w:rPr>
            <w:br/>
          </m:r>
        </m:oMath>
      </m:oMathPara>
    </w:p>
    <w:p w14:paraId="5289C0B4" w14:textId="1F53F182" w:rsidR="00492BFF" w:rsidRPr="00492BFF" w:rsidRDefault="009111F4" w:rsidP="00D50756">
      <w:pPr>
        <w:pStyle w:val="Paragraphedeliste"/>
        <w:spacing w:before="100" w:beforeAutospacing="1" w:after="120" w:line="240" w:lineRule="auto"/>
        <w:contextualSpacing w:val="0"/>
        <w:rPr>
          <w:rFonts w:eastAsia="Times New Roman" w:cs="Times New Roman"/>
          <w:kern w:val="0"/>
          <w:lang w:eastAsia="fr-CA"/>
          <w14:ligatures w14:val="none"/>
        </w:rPr>
      </w:pPr>
      <w:r>
        <w:rPr>
          <w:rFonts w:eastAsia="Times New Roman" w:cs="Times New Roman"/>
          <w:kern w:val="0"/>
          <w:lang w:eastAsia="fr-CA"/>
          <w14:ligatures w14:val="none"/>
        </w:rPr>
        <w:t>Enfin, nous allons combiner tous ces paramètres pour trouver l</w:t>
      </w:r>
      <w:r w:rsidR="00492BFF" w:rsidRPr="00492BFF">
        <w:rPr>
          <w:rFonts w:eastAsia="Times New Roman" w:cs="Times New Roman"/>
          <w:kern w:val="0"/>
          <w:lang w:eastAsia="fr-CA"/>
          <w14:ligatures w14:val="none"/>
        </w:rPr>
        <w:t>a prime de crédibilité de Bühlmann–Straub :</w:t>
      </w:r>
    </w:p>
    <w:p w14:paraId="120B14B9" w14:textId="56D2604D" w:rsidR="00492BFF" w:rsidRPr="00D50756" w:rsidRDefault="00000000" w:rsidP="00D50756">
      <w:pPr>
        <w:pStyle w:val="Paragraphedeliste"/>
        <w:spacing w:after="120" w:line="240" w:lineRule="auto"/>
        <w:contextualSpacing w:val="0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CA"/>
          <w14:ligatures w14:val="none"/>
        </w:rPr>
      </w:pPr>
      <m:oMath>
        <m:sSubSup>
          <m:sSubSup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b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Π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i,n+1</m:t>
            </m:r>
          </m:sub>
          <m:sup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BS</m:t>
            </m:r>
          </m:sup>
        </m:sSubSup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</m:t>
            </m:r>
          </m:sub>
        </m:sSub>
        <m:r>
          <m:rPr>
            <m:nor/>
          </m:rPr>
          <w:rPr>
            <w:rFonts w:ascii="Arial" w:eastAsia="Times New Roman" w:hAnsi="Arial" w:cs="Arial"/>
            <w:kern w:val="0"/>
            <w:lang w:eastAsia="fr-CA"/>
            <w14:ligatures w14:val="none"/>
          </w:rPr>
          <m:t> 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iw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+</m:t>
        </m:r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lang w:eastAsia="fr-CA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1-</m:t>
            </m:r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Z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i</m:t>
                </m:r>
              </m:sub>
            </m:sSub>
          </m:e>
        </m:d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m;</m:t>
        </m:r>
      </m:oMath>
      <w:r w:rsidR="00492BFF" w:rsidRPr="00492BFF">
        <w:rPr>
          <w:rFonts w:eastAsia="Times New Roman" w:cs="Times New Roman"/>
          <w:i/>
          <w:kern w:val="0"/>
          <w:lang w:eastAsia="fr-CA"/>
          <w14:ligatures w14:val="none"/>
        </w:rPr>
        <w:t xml:space="preserve">  </w:t>
      </w:r>
      <w:r w:rsidR="00492BFF" w:rsidRPr="00A85D5A">
        <w:rPr>
          <w:rFonts w:eastAsia="Times New Roman" w:cs="Times New Roman"/>
          <w:iCs/>
          <w:kern w:val="0"/>
          <w:lang w:eastAsia="fr-CA"/>
          <w14:ligatures w14:val="none"/>
        </w:rPr>
        <w:t>avec</w:t>
      </w:r>
      <w:r w:rsidR="00492BFF" w:rsidRPr="00492BFF">
        <w:rPr>
          <w:rFonts w:eastAsia="Times New Roman" w:cs="Times New Roman"/>
          <w:i/>
          <w:kern w:val="0"/>
          <w:lang w:eastAsia="fr-CA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w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i∙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w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i∙</m:t>
                </m:r>
              </m:sub>
            </m:s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+</m:t>
            </m:r>
            <m:sSup>
              <m:sSupPr>
                <m:ctrlP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s</m:t>
                </m:r>
              </m:e>
              <m:sup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/</m:t>
            </m:r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a</m:t>
            </m:r>
          </m:den>
        </m:f>
        <m:r>
          <m:rPr>
            <m:sty m:val="p"/>
          </m:rP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.</m:t>
        </m:r>
      </m:oMath>
      <w:r w:rsidR="00492BFF" w:rsidRPr="00492BFF">
        <w:rPr>
          <w:rFonts w:ascii="Cambria Math" w:eastAsia="Times New Roman" w:hAnsi="Cambria Math" w:cs="Times New Roman"/>
          <w:kern w:val="0"/>
          <w:sz w:val="24"/>
          <w:szCs w:val="24"/>
          <w:lang w:eastAsia="fr-CA"/>
          <w14:ligatures w14:val="none"/>
        </w:rPr>
        <w:br/>
      </w:r>
    </w:p>
    <w:p w14:paraId="235F5FF5" w14:textId="64FA3FCB" w:rsidR="00E110DB" w:rsidRDefault="00E110DB" w:rsidP="003F4800">
      <w:pPr>
        <w:pStyle w:val="Paragraphedeliste"/>
        <w:numPr>
          <w:ilvl w:val="0"/>
          <w:numId w:val="1"/>
        </w:numPr>
        <w:rPr>
          <w:b/>
          <w:bCs/>
        </w:rPr>
      </w:pPr>
      <w:r w:rsidRPr="00D50756">
        <w:rPr>
          <w:b/>
          <w:bCs/>
        </w:rPr>
        <w:t>Expliquez brièvement comment vous comptez choisir votre modèle de prévision final.</w:t>
      </w:r>
    </w:p>
    <w:p w14:paraId="5A04EB21" w14:textId="77777777" w:rsidR="004C398E" w:rsidRPr="00130D95" w:rsidRDefault="004C398E" w:rsidP="00130D95">
      <w:pPr>
        <w:pStyle w:val="NormalWeb"/>
        <w:ind w:left="720"/>
        <w:rPr>
          <w:rFonts w:asciiTheme="minorHAnsi" w:hAnsiTheme="minorHAnsi"/>
          <w:sz w:val="22"/>
          <w:szCs w:val="22"/>
        </w:rPr>
      </w:pPr>
      <w:r w:rsidRPr="00130D95">
        <w:rPr>
          <w:rFonts w:asciiTheme="minorHAnsi" w:hAnsiTheme="minorHAnsi"/>
          <w:sz w:val="22"/>
          <w:szCs w:val="22"/>
        </w:rPr>
        <w:t xml:space="preserve">Dans notre application, nous présentons trois modèles de crédibilité, soit </w:t>
      </w:r>
      <w:proofErr w:type="gramStart"/>
      <w:r w:rsidRPr="00130D95">
        <w:rPr>
          <w:rFonts w:asciiTheme="minorHAnsi" w:hAnsiTheme="minorHAnsi"/>
          <w:sz w:val="22"/>
          <w:szCs w:val="22"/>
        </w:rPr>
        <w:t>les modèles bayésien</w:t>
      </w:r>
      <w:proofErr w:type="gramEnd"/>
      <w:r w:rsidRPr="00130D95">
        <w:rPr>
          <w:rFonts w:asciiTheme="minorHAnsi" w:hAnsiTheme="minorHAnsi"/>
          <w:sz w:val="22"/>
          <w:szCs w:val="22"/>
        </w:rPr>
        <w:t>, de Bühlmann et de Bühlmann-Straub, afin de comparer leurs performances.</w:t>
      </w:r>
    </w:p>
    <w:p w14:paraId="09BD2AD5" w14:textId="77777777" w:rsidR="004C398E" w:rsidRPr="00130D95" w:rsidRDefault="004C398E" w:rsidP="00130D95">
      <w:pPr>
        <w:pStyle w:val="NormalWeb"/>
        <w:ind w:left="720"/>
        <w:rPr>
          <w:rFonts w:asciiTheme="minorHAnsi" w:hAnsiTheme="minorHAnsi"/>
          <w:sz w:val="22"/>
          <w:szCs w:val="22"/>
        </w:rPr>
      </w:pPr>
      <w:r w:rsidRPr="00130D95">
        <w:rPr>
          <w:rFonts w:asciiTheme="minorHAnsi" w:hAnsiTheme="minorHAnsi"/>
          <w:sz w:val="22"/>
          <w:szCs w:val="22"/>
        </w:rPr>
        <w:t>Le choix du modèle final repose sur une analyse de la performance prédictive à l’aide des données de test (rondes partielles), en utilisant des mesures telles que l’erreur absolue moyenne (MAE), l’erreur quadratique moyenne (RMSE) et le biais.</w:t>
      </w:r>
    </w:p>
    <w:p w14:paraId="3920D8B0" w14:textId="77777777" w:rsidR="004C398E" w:rsidRPr="00130D95" w:rsidRDefault="004C398E" w:rsidP="00130D95">
      <w:pPr>
        <w:pStyle w:val="NormalWeb"/>
        <w:ind w:left="720"/>
        <w:rPr>
          <w:rFonts w:asciiTheme="minorHAnsi" w:hAnsiTheme="minorHAnsi"/>
          <w:sz w:val="22"/>
          <w:szCs w:val="22"/>
        </w:rPr>
      </w:pPr>
      <w:r w:rsidRPr="00130D95">
        <w:rPr>
          <w:rFonts w:asciiTheme="minorHAnsi" w:hAnsiTheme="minorHAnsi"/>
          <w:sz w:val="22"/>
          <w:szCs w:val="22"/>
        </w:rPr>
        <w:t xml:space="preserve">Bien que les trois modèles soient présentés dans l’application, le modèle de Bühlmann-Straub est particulièrement pertinent dans notre contexte puisqu’il permet de tenir compte de l’exposition au risque à l’aide de poids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w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it</m:t>
            </m:r>
          </m:sub>
        </m:sSub>
      </m:oMath>
      <w:r w:rsidRPr="00130D95">
        <w:rPr>
          <w:rFonts w:asciiTheme="minorHAnsi" w:hAnsiTheme="minorHAnsi"/>
          <w:sz w:val="22"/>
          <w:szCs w:val="22"/>
        </w:rPr>
        <w:t>, ce qui est cohérent avec la structure des données observées.</w:t>
      </w:r>
    </w:p>
    <w:p w14:paraId="3C25B154" w14:textId="77777777" w:rsidR="004C398E" w:rsidRPr="00130D95" w:rsidRDefault="004C398E" w:rsidP="004C398E">
      <w:pPr>
        <w:pStyle w:val="NormalWeb"/>
        <w:ind w:left="720"/>
        <w:rPr>
          <w:rFonts w:asciiTheme="minorHAnsi" w:hAnsiTheme="minorHAnsi"/>
          <w:sz w:val="22"/>
          <w:szCs w:val="22"/>
        </w:rPr>
      </w:pPr>
      <w:r w:rsidRPr="00130D95">
        <w:rPr>
          <w:rFonts w:asciiTheme="minorHAnsi" w:hAnsiTheme="minorHAnsi"/>
          <w:sz w:val="22"/>
          <w:szCs w:val="22"/>
        </w:rPr>
        <w:t>Ainsi, en fonction des résultats empiriques et de la capacité du modèle à bien représenter l’exposition, le modèle de Bühlmann-Straub peut être recommandé comme modèle principal.</w:t>
      </w:r>
    </w:p>
    <w:p w14:paraId="72F7B30E" w14:textId="701112A3" w:rsidR="003F4800" w:rsidRPr="003F4800" w:rsidRDefault="003F4800" w:rsidP="004C398E">
      <w:pPr>
        <w:pStyle w:val="Paragraphedeliste"/>
        <w:rPr>
          <w:b/>
          <w:bCs/>
        </w:rPr>
      </w:pPr>
    </w:p>
    <w:sectPr w:rsidR="003F4800" w:rsidRPr="003F4800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416D80"/>
    <w:multiLevelType w:val="hybridMultilevel"/>
    <w:tmpl w:val="C58C058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84076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0DB"/>
    <w:rsid w:val="000B291B"/>
    <w:rsid w:val="000E7306"/>
    <w:rsid w:val="00130D95"/>
    <w:rsid w:val="00157C99"/>
    <w:rsid w:val="001A3FB6"/>
    <w:rsid w:val="001C16FE"/>
    <w:rsid w:val="001D5ACB"/>
    <w:rsid w:val="001E6E98"/>
    <w:rsid w:val="00236AB7"/>
    <w:rsid w:val="002C18C3"/>
    <w:rsid w:val="00300F02"/>
    <w:rsid w:val="003A78A3"/>
    <w:rsid w:val="003F4800"/>
    <w:rsid w:val="00400BA0"/>
    <w:rsid w:val="00465001"/>
    <w:rsid w:val="00492BFF"/>
    <w:rsid w:val="004C398E"/>
    <w:rsid w:val="00557063"/>
    <w:rsid w:val="005A0C1F"/>
    <w:rsid w:val="006D4B03"/>
    <w:rsid w:val="00734540"/>
    <w:rsid w:val="007345DF"/>
    <w:rsid w:val="0076539C"/>
    <w:rsid w:val="008038C0"/>
    <w:rsid w:val="008869D8"/>
    <w:rsid w:val="009111F4"/>
    <w:rsid w:val="00913043"/>
    <w:rsid w:val="00953ADA"/>
    <w:rsid w:val="00A24C4B"/>
    <w:rsid w:val="00A542B3"/>
    <w:rsid w:val="00A73723"/>
    <w:rsid w:val="00A85D5A"/>
    <w:rsid w:val="00AC79C3"/>
    <w:rsid w:val="00AC7B8C"/>
    <w:rsid w:val="00B87BF5"/>
    <w:rsid w:val="00B92D04"/>
    <w:rsid w:val="00BB32B8"/>
    <w:rsid w:val="00BE6ED4"/>
    <w:rsid w:val="00C02431"/>
    <w:rsid w:val="00C223FD"/>
    <w:rsid w:val="00C312FE"/>
    <w:rsid w:val="00CE41E2"/>
    <w:rsid w:val="00D13A85"/>
    <w:rsid w:val="00D237A4"/>
    <w:rsid w:val="00D50756"/>
    <w:rsid w:val="00E00764"/>
    <w:rsid w:val="00E110DB"/>
    <w:rsid w:val="00E36ACE"/>
    <w:rsid w:val="00E528D8"/>
    <w:rsid w:val="00EB2C10"/>
    <w:rsid w:val="00F24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E1E03E"/>
  <w15:chartTrackingRefBased/>
  <w15:docId w15:val="{F3377A6B-3081-4859-811C-776D90C14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110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110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110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110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110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110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110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110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110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110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110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110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110D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110D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110D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110D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110D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110D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110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110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110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110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110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110D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110D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110D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110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110D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110D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92B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CA"/>
      <w14:ligatures w14:val="none"/>
    </w:rPr>
  </w:style>
  <w:style w:type="character" w:styleId="Textedelespacerserv">
    <w:name w:val="Placeholder Text"/>
    <w:basedOn w:val="Policepardfaut"/>
    <w:uiPriority w:val="99"/>
    <w:semiHidden/>
    <w:rsid w:val="00B92D0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34E2965E001094BB667583607E2D7E3" ma:contentTypeVersion="8" ma:contentTypeDescription="Create a new document." ma:contentTypeScope="" ma:versionID="73661d776941e9e3c710a32cd248c220">
  <xsd:schema xmlns:xsd="http://www.w3.org/2001/XMLSchema" xmlns:xs="http://www.w3.org/2001/XMLSchema" xmlns:p="http://schemas.microsoft.com/office/2006/metadata/properties" xmlns:ns3="7cd8c61a-fd18-4603-8755-d91a22d67d2b" xmlns:ns4="1f336702-64c3-405d-b44c-b3f5d9ffe49b" targetNamespace="http://schemas.microsoft.com/office/2006/metadata/properties" ma:root="true" ma:fieldsID="ba50763595f2e038a40d1a9ef53661d7" ns3:_="" ns4:_="">
    <xsd:import namespace="7cd8c61a-fd18-4603-8755-d91a22d67d2b"/>
    <xsd:import namespace="1f336702-64c3-405d-b44c-b3f5d9ffe49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d8c61a-fd18-4603-8755-d91a22d67d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336702-64c3-405d-b44c-b3f5d9ffe49b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cd8c61a-fd18-4603-8755-d91a22d67d2b" xsi:nil="true"/>
  </documentManagement>
</p:properties>
</file>

<file path=customXml/itemProps1.xml><?xml version="1.0" encoding="utf-8"?>
<ds:datastoreItem xmlns:ds="http://schemas.openxmlformats.org/officeDocument/2006/customXml" ds:itemID="{DFF3C3D9-2FD0-49BB-9541-8E240B5F0E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d8c61a-fd18-4603-8755-d91a22d67d2b"/>
    <ds:schemaRef ds:uri="1f336702-64c3-405d-b44c-b3f5d9ffe49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BF2ACCA-A08C-447D-9B60-491EFF60D57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46B2DC-6610-43C6-86D1-D3F5854E6D47}">
  <ds:schemaRefs>
    <ds:schemaRef ds:uri="http://schemas.microsoft.com/office/2006/metadata/properties"/>
    <ds:schemaRef ds:uri="http://schemas.microsoft.com/office/infopath/2007/PartnerControls"/>
    <ds:schemaRef ds:uri="7cd8c61a-fd18-4603-8755-d91a22d67d2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</Pages>
  <Words>568</Words>
  <Characters>3255</Characters>
  <Application>Microsoft Office Word</Application>
  <DocSecurity>0</DocSecurity>
  <Lines>69</Lines>
  <Paragraphs>38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Marc-Antoine Dion</dc:creator>
  <cp:keywords/>
  <dc:description/>
  <cp:lastModifiedBy>Marc-Antoine Dion</cp:lastModifiedBy>
  <cp:revision>9</cp:revision>
  <dcterms:created xsi:type="dcterms:W3CDTF">2026-03-24T14:47:00Z</dcterms:created>
  <dcterms:modified xsi:type="dcterms:W3CDTF">2026-03-26T18:11:00Z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0x010100C34E2965E001094BB667583607E2D7E3</vt:lpwstr>
  </property>
</Properties>
</file>