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E39" w:rsidRP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24"/>
          <w:lang w:eastAsia="ca-ES"/>
        </w:rPr>
      </w:pPr>
      <w:r w:rsidRPr="005A57B4">
        <w:rPr>
          <w:rFonts w:ascii="Times New Roman" w:eastAsia="Times New Roman" w:hAnsi="Times New Roman" w:cs="Times New Roman"/>
          <w:b/>
          <w:bCs/>
          <w:sz w:val="56"/>
          <w:szCs w:val="24"/>
          <w:lang w:eastAsia="ca-ES"/>
        </w:rPr>
        <w:t>Tecnologías Emergentes 2025</w:t>
      </w:r>
    </w:p>
    <w:p w:rsidR="00863E39" w:rsidRPr="00863E39" w:rsidRDefault="00863E39" w:rsidP="00863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  <w:r w:rsidRPr="00863E39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>Introducción</w:t>
      </w:r>
    </w:p>
    <w:p w:rsidR="0087232B" w:rsidRPr="005A57B4" w:rsidRDefault="005E5263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A57B4">
        <w:rPr>
          <w:rFonts w:ascii="Times New Roman" w:eastAsia="Times New Roman" w:hAnsi="Times New Roman" w:cs="Times New Roman"/>
          <w:i/>
          <w:sz w:val="24"/>
          <w:szCs w:val="24"/>
          <w:lang w:eastAsia="ca-ES"/>
        </w:rPr>
        <w:t>“</w:t>
      </w:r>
      <w:r w:rsidR="00863E39"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El año 2025 marcará un punto de inflexión en la </w:t>
      </w:r>
      <w:r w:rsidR="00863E39" w:rsidRPr="00863E39">
        <w:rPr>
          <w:rFonts w:ascii="Times New Roman" w:eastAsia="Times New Roman" w:hAnsi="Times New Roman" w:cs="Times New Roman"/>
          <w:b/>
          <w:sz w:val="24"/>
          <w:szCs w:val="24"/>
          <w:lang w:eastAsia="ca-ES"/>
        </w:rPr>
        <w:t>evolución de diversas tecnologías emergentes</w:t>
      </w:r>
      <w:r w:rsidRPr="005A57B4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  <w:r w:rsidRPr="005A57B4">
        <w:rPr>
          <w:rFonts w:ascii="Times New Roman" w:eastAsia="Times New Roman" w:hAnsi="Times New Roman" w:cs="Times New Roman"/>
          <w:i/>
          <w:sz w:val="24"/>
          <w:szCs w:val="24"/>
          <w:lang w:eastAsia="ca-ES"/>
        </w:rPr>
        <w:t>”</w:t>
      </w:r>
    </w:p>
    <w:p w:rsidR="0087232B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Con avances significativos en inteligencia artificial, computación cuántica, biotecnología y sostenibilidad, las empresas y la sociedad en general experimentarán cambios transformadores. </w:t>
      </w: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Este documento explora las principales innovaciones que se esperan en los próximos años y su impacto en la economía global.</w:t>
      </w: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bookmarkStart w:id="0" w:name="_GoBack"/>
      <w:bookmarkEnd w:id="0"/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863E39" w:rsidRDefault="00863E39" w:rsidP="00863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  <w:r w:rsidRPr="00863E39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lastRenderedPageBreak/>
        <w:t>Inteligencia Artificial (IA) y Automatización</w:t>
      </w:r>
    </w:p>
    <w:p w:rsidR="00863E39" w:rsidRP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La inteligencia artificial seguirá revolucionando sectores como la salud, la educación y la industria. Modelos avanzados de IA generativa permitirán una interacción más natural entre humanos y máquinas, mientras que la automatización impulsada por IA optimizará la eficiencia en tareas complejas. Se espera que:</w:t>
      </w:r>
    </w:p>
    <w:p w:rsidR="00863E39" w:rsidRPr="00863E39" w:rsidRDefault="00863E39" w:rsidP="00863E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Las herramientas de IA se integren más en el ámbito educativo, personalizando el aprendizaje.</w:t>
      </w:r>
    </w:p>
    <w:p w:rsidR="00863E39" w:rsidRPr="00863E39" w:rsidRDefault="00863E39" w:rsidP="00863E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La robótica avanzada en la medicina mejore los procedimientos quirúrgicos y la atención al paciente.</w:t>
      </w:r>
    </w:p>
    <w:p w:rsidR="00863E39" w:rsidRPr="005A57B4" w:rsidRDefault="00863E39" w:rsidP="00863E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Los algoritmos predictivos permitan una mejor gestión de recursos en sectores como la energía y el transporte.</w:t>
      </w: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863E39" w:rsidRDefault="00863E39" w:rsidP="00863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  <w:r w:rsidRPr="00863E39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lastRenderedPageBreak/>
        <w:t>Computación Cuántica</w:t>
      </w:r>
    </w:p>
    <w:p w:rsidR="00863E39" w:rsidRP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La computación cuántica avanza a pasos agigantados, con empresas tecnológicas invirtiendo en el desarrollo de procesadores cuánticos más estables y accesibles. En 2025, se prevé:</w:t>
      </w:r>
    </w:p>
    <w:p w:rsidR="00863E39" w:rsidRPr="00863E39" w:rsidRDefault="00863E39" w:rsidP="00863E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Mayor integración de la computación cuántica en la resolución de problemas logísticos y financieros.</w:t>
      </w:r>
    </w:p>
    <w:p w:rsidR="00863E39" w:rsidRPr="00863E39" w:rsidRDefault="00863E39" w:rsidP="00863E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Avances en criptografía cuántica para mejorar la seguridad en la transmisión de datos.</w:t>
      </w:r>
    </w:p>
    <w:p w:rsidR="00863E39" w:rsidRPr="005A57B4" w:rsidRDefault="00863E39" w:rsidP="00863E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Simulaciones moleculares más precisas, acelerando el descubrimiento de nuevos materiales y fármacos.</w:t>
      </w: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863E39" w:rsidRDefault="00863E39" w:rsidP="00863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  <w:r w:rsidRPr="00863E39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lastRenderedPageBreak/>
        <w:t>Biotecnología y Medicina Personalizada</w:t>
      </w:r>
    </w:p>
    <w:p w:rsidR="00863E39" w:rsidRP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El desarrollo de la biotecnología permitirá tratamientos más efectivos y personalizados para diversas enfermedades. La combinación de IA y biología sintética posibilitará avances como:</w:t>
      </w:r>
    </w:p>
    <w:p w:rsidR="00863E39" w:rsidRPr="00863E39" w:rsidRDefault="00863E39" w:rsidP="00863E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Terapias génicas más accesibles y con menores efectos secundarios.</w:t>
      </w:r>
    </w:p>
    <w:p w:rsidR="00863E39" w:rsidRPr="00863E39" w:rsidRDefault="00863E39" w:rsidP="00863E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Diagnósticos médicos en tiempo real mediante sensores y dispositivos portátiles.</w:t>
      </w:r>
    </w:p>
    <w:p w:rsidR="00863E39" w:rsidRPr="005A57B4" w:rsidRDefault="00863E39" w:rsidP="00863E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Impresión 3D de tejidos y órganos para mejorar la disponibilidad de trasplantes.</w:t>
      </w: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863E39" w:rsidRDefault="00863E39" w:rsidP="00863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  <w:r w:rsidRPr="00863E39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lastRenderedPageBreak/>
        <w:t>Sostenibilidad y Energías Renovables</w:t>
      </w:r>
    </w:p>
    <w:p w:rsidR="00863E39" w:rsidRP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Con la crisis climática en el centro del debate mundial, 2025 será un año clave para la transición energética y el desarrollo de soluciones más sostenibles. Entre los avances más esperados destacan:</w:t>
      </w:r>
    </w:p>
    <w:p w:rsidR="00863E39" w:rsidRPr="00863E39" w:rsidRDefault="00863E39" w:rsidP="00863E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Mayor eficiencia en el almacenamiento de energía con baterías de nueva generación.</w:t>
      </w:r>
    </w:p>
    <w:p w:rsidR="00863E39" w:rsidRPr="00863E39" w:rsidRDefault="00863E39" w:rsidP="00863E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Uso masivo de hidrógeno verde como fuente de energía limpia.</w:t>
      </w:r>
    </w:p>
    <w:p w:rsidR="00863E39" w:rsidRPr="005A57B4" w:rsidRDefault="00863E39" w:rsidP="00863E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Aplicación de nanotecnología para mejorar la captura y reutilización de CO2.</w:t>
      </w: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863E39" w:rsidRDefault="00863E39" w:rsidP="00863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  <w:r w:rsidRPr="00863E39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lastRenderedPageBreak/>
        <w:t>Conclusión</w:t>
      </w:r>
    </w:p>
    <w:p w:rsidR="00863E39" w:rsidRP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El impacto de estas tecnologías en la sociedad dependerá de cómo sean reguladas e implementadas. La colaboración entre gobiernos, empresas y científicos será clave para asegurar un desarrollo tecnológico ético y sostenible. 2025 promete ser un año de innovaciones que cambiarán la forma en que vivimos y trabajamos, abriendo nuevas oportunidades y desafíos para el futuro.</w:t>
      </w:r>
    </w:p>
    <w:p w:rsidR="00087245" w:rsidRPr="005A57B4" w:rsidRDefault="005A57B4"/>
    <w:sectPr w:rsidR="00087245" w:rsidRPr="005A5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51E44"/>
    <w:multiLevelType w:val="multilevel"/>
    <w:tmpl w:val="BF64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97661"/>
    <w:multiLevelType w:val="multilevel"/>
    <w:tmpl w:val="4CAC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1F2AD4"/>
    <w:multiLevelType w:val="multilevel"/>
    <w:tmpl w:val="9BBA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965A1"/>
    <w:multiLevelType w:val="multilevel"/>
    <w:tmpl w:val="2534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1A"/>
    <w:rsid w:val="002A2E5A"/>
    <w:rsid w:val="005A57B4"/>
    <w:rsid w:val="005E5263"/>
    <w:rsid w:val="007B6B1A"/>
    <w:rsid w:val="00863E39"/>
    <w:rsid w:val="0087232B"/>
    <w:rsid w:val="009D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7BAD8"/>
  <w15:chartTrackingRefBased/>
  <w15:docId w15:val="{349CAD2F-2EE6-4FB1-A75D-9C22AEE6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63E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ca-ES"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63E39"/>
    <w:rPr>
      <w:rFonts w:ascii="Times New Roman" w:eastAsia="Times New Roman" w:hAnsi="Times New Roman" w:cs="Times New Roman"/>
      <w:b/>
      <w:bCs/>
      <w:sz w:val="27"/>
      <w:szCs w:val="27"/>
      <w:lang w:val="ca-ES" w:eastAsia="ca-ES"/>
    </w:rPr>
  </w:style>
  <w:style w:type="paragraph" w:styleId="NormalWeb">
    <w:name w:val="Normal (Web)"/>
    <w:basedOn w:val="Normal"/>
    <w:uiPriority w:val="99"/>
    <w:semiHidden/>
    <w:unhideWhenUsed/>
    <w:rsid w:val="00863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 w:eastAsia="ca-ES"/>
    </w:rPr>
  </w:style>
  <w:style w:type="character" w:styleId="Textoennegrita">
    <w:name w:val="Strong"/>
    <w:basedOn w:val="Fuentedeprrafopredeter"/>
    <w:uiPriority w:val="22"/>
    <w:qFormat/>
    <w:rsid w:val="00863E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Esteve García</dc:creator>
  <cp:keywords/>
  <dc:description/>
  <cp:lastModifiedBy>Marc Esteve García</cp:lastModifiedBy>
  <cp:revision>3</cp:revision>
  <dcterms:created xsi:type="dcterms:W3CDTF">2025-02-16T23:41:00Z</dcterms:created>
  <dcterms:modified xsi:type="dcterms:W3CDTF">2025-02-16T23:41:00Z</dcterms:modified>
</cp:coreProperties>
</file>