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24"/>
          <w:lang w:eastAsia="ca-ES"/>
        </w:rPr>
      </w:pPr>
      <w:r w:rsidRPr="005A57B4">
        <w:rPr>
          <w:rFonts w:ascii="Times New Roman" w:eastAsia="Times New Roman" w:hAnsi="Times New Roman" w:cs="Times New Roman"/>
          <w:b/>
          <w:bCs/>
          <w:sz w:val="56"/>
          <w:szCs w:val="24"/>
          <w:lang w:eastAsia="ca-ES"/>
        </w:rPr>
        <w:t>Tecnologías Emergentes 2025</w:t>
      </w: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Introducción</w:t>
      </w:r>
    </w:p>
    <w:p w:rsidR="0087232B" w:rsidRPr="005A57B4" w:rsidRDefault="005E5263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A57B4">
        <w:rPr>
          <w:rFonts w:ascii="Times New Roman" w:eastAsia="Times New Roman" w:hAnsi="Times New Roman" w:cs="Times New Roman"/>
          <w:i/>
          <w:sz w:val="24"/>
          <w:szCs w:val="24"/>
          <w:lang w:eastAsia="ca-ES"/>
        </w:rPr>
        <w:t>“</w:t>
      </w:r>
      <w:r w:rsidR="00863E39" w:rsidRPr="00863E39">
        <w:rPr>
          <w:rFonts w:ascii="Times New Roman" w:eastAsia="Times New Roman" w:hAnsi="Times New Roman" w:cs="Times New Roman"/>
          <w:b/>
          <w:sz w:val="24"/>
          <w:szCs w:val="24"/>
          <w:lang w:eastAsia="ca-ES"/>
        </w:rPr>
        <w:t xml:space="preserve">El año 2025 marcará un punto de inflexión en la </w:t>
      </w:r>
      <w:r w:rsidR="00863E39" w:rsidRPr="00863E39">
        <w:rPr>
          <w:rFonts w:ascii="Times New Roman" w:eastAsia="Times New Roman" w:hAnsi="Times New Roman" w:cs="Times New Roman"/>
          <w:b/>
          <w:sz w:val="24"/>
          <w:szCs w:val="24"/>
          <w:lang w:eastAsia="ca-ES"/>
        </w:rPr>
        <w:t>otro texto</w:t>
      </w:r>
      <w:r w:rsidRPr="005A57B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  <w:r w:rsidRPr="005A57B4">
        <w:rPr>
          <w:rFonts w:ascii="Times New Roman" w:eastAsia="Times New Roman" w:hAnsi="Times New Roman" w:cs="Times New Roman"/>
          <w:i/>
          <w:sz w:val="24"/>
          <w:szCs w:val="24"/>
          <w:lang w:eastAsia="ca-ES"/>
        </w:rPr>
        <w:t>”</w:t>
      </w:r>
    </w:p>
    <w:p w:rsidR="0087232B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Con avances significativos en inteligencia artificial, computación cuántica, biotecnología y sostenibilidad, las empresas y la sociedad en general experimentarán cambios transformadores. 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Este documento explora las principales innovaciones que se esperan en los próximos años y su impacto en la economía global.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bookmarkStart w:id="0" w:name="_GoBack"/>
      <w:bookmarkEnd w:id="0"/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Inteligencia Artificial (IA) y Automatización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La inteligencia artificial seguirá revolucionando sectores como la salud, la educación y la industria. Modelos avanzados de IA generativa permitirán una interacción más natural entre humanos y máquinas, mientras que la automatización impulsada por IA optimizará la eficiencia en tareas complejas. Se espera que:</w:t>
      </w:r>
    </w:p>
    <w:p w:rsidR="00863E39" w:rsidRPr="00863E39" w:rsidRDefault="00863E39" w:rsidP="00863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Las herramientas de IA se integren más en el ámbito educativo, personalizando el aprendizaje.</w:t>
      </w:r>
    </w:p>
    <w:p w:rsidR="00863E39" w:rsidRPr="00863E39" w:rsidRDefault="00863E39" w:rsidP="00863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La robótica avanzada en la medicina mejore los procedimientos quirúrgicos y la atención al paciente.</w:t>
      </w:r>
    </w:p>
    <w:p w:rsidR="00863E39" w:rsidRPr="005A57B4" w:rsidRDefault="00863E39" w:rsidP="00863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Los algoritmos predictivos permitan una mejor gestión de recursos en sectores como la energía y el transporte.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Computación Cuántica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La computación cuántica avanza a pasos agigantados, con empresas tecnológicas invirtiendo en el desarrollo de procesadores cuánticos más estables y accesibles. En 2025, se prevé:</w:t>
      </w:r>
    </w:p>
    <w:p w:rsidR="00863E39" w:rsidRPr="00863E39" w:rsidRDefault="00863E39" w:rsidP="0086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Mayor integración de la computación cuántica en la resolución de problemas logísticos y financieros.</w:t>
      </w:r>
    </w:p>
    <w:p w:rsidR="00863E39" w:rsidRPr="00863E39" w:rsidRDefault="00863E39" w:rsidP="0086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Avances en criptografía cuántica para mejorar la seguridad en la transmisión de datos.</w:t>
      </w:r>
    </w:p>
    <w:p w:rsidR="00863E39" w:rsidRPr="005A57B4" w:rsidRDefault="00863E39" w:rsidP="0086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Simulaciones moleculares más precisas, acelerando el descubrimiento de nuevos materiales y fármacos.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Biotecnología y Medicina Personalizada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El desarrollo de la biotecnología permitirá tratamientos más efectivos y personalizados para diversas enfermedades. La combinación de IA y biología sintética posibilitará avances como:</w:t>
      </w:r>
    </w:p>
    <w:p w:rsidR="00863E39" w:rsidRPr="00863E39" w:rsidRDefault="00863E39" w:rsidP="00863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Terapias génicas más accesibles y con menores efectos secundarios.</w:t>
      </w:r>
    </w:p>
    <w:p w:rsidR="00863E39" w:rsidRPr="00863E39" w:rsidRDefault="00863E39" w:rsidP="00863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Diagnósticos médicos en tiempo real mediante sensores y dispositivos portátiles.</w:t>
      </w:r>
    </w:p>
    <w:p w:rsidR="00863E39" w:rsidRPr="005A57B4" w:rsidRDefault="00863E39" w:rsidP="00863E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Impresión 3D de tejidos y órganos para mejorar la disponibilidad de trasplantes.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Sostenibilidad y Energías Renovables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Con la crisis climática en el centro del debate mundial, 2025 será un año clave para la transición energética y el desarrollo de soluciones más sostenibles. Entre los avances más esperados destacan:</w:t>
      </w:r>
    </w:p>
    <w:p w:rsidR="00863E39" w:rsidRPr="00863E39" w:rsidRDefault="00863E39" w:rsidP="00863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Mayor eficiencia en el almacenamiento de energía con baterías de nueva generación.</w:t>
      </w:r>
    </w:p>
    <w:p w:rsidR="00863E39" w:rsidRPr="00863E39" w:rsidRDefault="00863E39" w:rsidP="00863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Uso masivo de hidrógeno verde como fuente de energía limpia.</w:t>
      </w:r>
    </w:p>
    <w:p w:rsidR="00863E39" w:rsidRPr="005A57B4" w:rsidRDefault="00863E39" w:rsidP="00863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Aplicación de nanotecnología para mejorar la captura y reutilización de CO2.</w:t>
      </w: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5A57B4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63E39" w:rsidRPr="00863E39" w:rsidRDefault="00863E39" w:rsidP="0086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63E3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lastRenderedPageBreak/>
        <w:t>Conclusión</w:t>
      </w:r>
    </w:p>
    <w:p w:rsidR="00863E39" w:rsidRPr="00863E39" w:rsidRDefault="00863E39" w:rsidP="0086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63E39">
        <w:rPr>
          <w:rFonts w:ascii="Times New Roman" w:eastAsia="Times New Roman" w:hAnsi="Times New Roman" w:cs="Times New Roman"/>
          <w:sz w:val="24"/>
          <w:szCs w:val="24"/>
          <w:lang w:eastAsia="ca-ES"/>
        </w:rPr>
        <w:t>El impacto de estas tecnologías en la sociedad dependerá de cómo sean reguladas e implementadas. La colaboración entre gobiernos, empresas y científicos será clave para asegurar un desarrollo tecnológico ético y sostenible. 2025 promete ser un año de innovaciones que cambiarán la forma en que vivimos y trabajamos, abriendo nuevas oportunidades y desafíos para el futuro.</w:t>
      </w:r>
    </w:p>
    <w:p w:rsidR="00087245" w:rsidRPr="005A57B4" w:rsidRDefault="005A57B4"/>
    <w:sectPr w:rsidR="00087245" w:rsidRPr="005A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1E44"/>
    <w:multiLevelType w:val="multilevel"/>
    <w:tmpl w:val="BF6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97661"/>
    <w:multiLevelType w:val="multilevel"/>
    <w:tmpl w:val="4CAC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F2AD4"/>
    <w:multiLevelType w:val="multilevel"/>
    <w:tmpl w:val="9BBA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965A1"/>
    <w:multiLevelType w:val="multilevel"/>
    <w:tmpl w:val="253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1A"/>
    <w:rsid w:val="002A2E5A"/>
    <w:rsid w:val="005A57B4"/>
    <w:rsid w:val="005E5263"/>
    <w:rsid w:val="007B6B1A"/>
    <w:rsid w:val="00863E39"/>
    <w:rsid w:val="0087232B"/>
    <w:rsid w:val="009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BAD8"/>
  <w15:chartTrackingRefBased/>
  <w15:docId w15:val="{349CAD2F-2EE6-4FB1-A75D-9C22AEE6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3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3E39"/>
    <w:rPr>
      <w:rFonts w:ascii="Times New Roman" w:eastAsia="Times New Roman" w:hAnsi="Times New Roman" w:cs="Times New Roman"/>
      <w:b/>
      <w:bCs/>
      <w:sz w:val="27"/>
      <w:szCs w:val="27"/>
      <w:lang w:val="ca-ES" w:eastAsia="ca-ES"/>
    </w:rPr>
  </w:style>
  <w:style w:type="paragraph" w:styleId="NormalWeb">
    <w:name w:val="Normal (Web)"/>
    <w:basedOn w:val="Normal"/>
    <w:uiPriority w:val="99"/>
    <w:semiHidden/>
    <w:unhideWhenUsed/>
    <w:rsid w:val="00863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Textoennegrita">
    <w:name w:val="Strong"/>
    <w:basedOn w:val="Fuentedeprrafopredeter"/>
    <w:uiPriority w:val="22"/>
    <w:qFormat/>
    <w:rsid w:val="00863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Esteve García</dc:creator>
  <cp:keywords/>
  <dc:description/>
  <cp:lastModifiedBy>Marc Esteve García</cp:lastModifiedBy>
  <cp:revision>3</cp:revision>
  <dcterms:created xsi:type="dcterms:W3CDTF">2025-02-16T23:41:00Z</dcterms:created>
  <dcterms:modified xsi:type="dcterms:W3CDTF">2025-02-16T23:41:00Z</dcterms:modified>
</cp:coreProperties>
</file>