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RAID Log — Enterprise Data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Owner:</w:t>
            </w:r>
          </w:p>
        </w:tc>
        <w:tc>
          <w:tcPr>
            <w:tcW w:type="dxa" w:w="4320"/>
          </w:tcPr>
          <w:p>
            <w:r>
              <w:t>PMO — Ana Torres</w:t>
            </w:r>
          </w:p>
        </w:tc>
      </w:tr>
      <w:tr>
        <w:tc>
          <w:tcPr>
            <w:tcW w:type="dxa" w:w="4320"/>
          </w:tcPr>
          <w:p>
            <w:r>
              <w:t>Classification: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Risks</w:t>
      </w:r>
    </w:p>
    <w:p>
      <w:r>
        <w:t>Vendor lock-in risk if single cloud provider chosen. Mitigation: multi-cloud design.</w:t>
      </w:r>
    </w:p>
    <w:p>
      <w:pPr>
        <w:pStyle w:val="Heading1"/>
      </w:pPr>
      <w:r>
        <w:t>Assumptions</w:t>
      </w:r>
    </w:p>
    <w:p>
      <w:r>
        <w:t>Cloud team has Terraform skills. CDO approved budget uplift.</w:t>
      </w:r>
    </w:p>
    <w:p>
      <w:pPr>
        <w:pStyle w:val="Heading1"/>
      </w:pPr>
      <w:r>
        <w:t>Issues</w:t>
      </w:r>
    </w:p>
    <w:p>
      <w:r>
        <w:t>Legacy ETL jobs failing intermittently — investigation in progress (ticket #4421).</w:t>
      </w:r>
    </w:p>
    <w:p>
      <w:pPr>
        <w:pStyle w:val="Heading1"/>
      </w:pPr>
      <w:r>
        <w:t>Dependencies</w:t>
      </w:r>
    </w:p>
    <w:p>
      <w:r>
        <w:t>Finance sign-off on data model required before Sprint 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RAID Log — Enterprise Data Platform</dc:title>
  <dc:subject/>
  <dc:creator>Marc Pérez — Project Management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