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Framework</w:t>
      </w:r>
    </w:p>
    <w:p>
      <w:r>
        <w:t>DRAFT — DO NOT DISTRIBUTE</w:t>
      </w:r>
    </w:p>
    <w:p>
      <w:pPr>
        <w:pStyle w:val="Heading1"/>
      </w:pPr>
      <w:r>
        <w:t>Purpose</w:t>
      </w:r>
    </w:p>
    <w:p>
      <w:r>
        <w:t>TBD — framework purpose to be defined after stakeholder workshops.</w:t>
      </w:r>
    </w:p>
    <w:p>
      <w:pPr>
        <w:pStyle w:val="Heading1"/>
      </w:pPr>
      <w:r>
        <w:t>Scope</w:t>
      </w:r>
    </w:p>
    <w:p>
      <w:r>
        <w:t>[INSERT scope here — awaiting input from data owners]</w:t>
      </w:r>
    </w:p>
    <w:p>
      <w:pPr>
        <w:pStyle w:val="Heading1"/>
      </w:pPr>
      <w:r>
        <w:t>Roles and Responsibilities</w:t>
      </w:r>
    </w:p>
    <w:p>
      <w:r>
        <w:t>Data Owner: [INSERT name]</w:t>
        <w:br/>
        <w:t>Data Steward: TODO</w:t>
        <w:br/>
        <w:t>Governance Committee: TBD</w:t>
      </w:r>
    </w:p>
    <w:p>
      <w:pPr>
        <w:pStyle w:val="Heading1"/>
      </w:pPr>
      <w:r>
        <w:t>Standards</w:t>
      </w:r>
    </w:p>
    <w:p>
      <w:r>
        <w:t>Compliance with ISO/IEC 27001:2013 and Data Protection Directive 95/46/EC will be assessed in Phase 2. Lorem ipsum placeholder text for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Cesari — Data Governance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