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GDPR Data Protection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 DRAFT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[TBD]</w:t>
            </w:r>
          </w:p>
        </w:tc>
      </w:tr>
      <w:tr>
        <w:tc>
          <w:tcPr>
            <w:tcW w:type="dxa" w:w="4320"/>
          </w:tcPr>
          <w:p>
            <w:r>
              <w:t>Review date</w:t>
            </w:r>
          </w:p>
        </w:tc>
        <w:tc>
          <w:tcPr>
            <w:tcW w:type="dxa" w:w="4320"/>
          </w:tcPr>
          <w:p>
            <w:r>
              <w:t>[INSERT DATE]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[PENDING APPROVAL]</w:t>
            </w:r>
          </w:p>
        </w:tc>
      </w:tr>
    </w:tbl>
    <w:p/>
    <w:p>
      <w:pPr>
        <w:pStyle w:val="Heading2"/>
      </w:pPr>
      <w:r>
        <w:t>1. Purpose</w:t>
      </w:r>
    </w:p>
    <w:p>
      <w:r>
        <w:t>This policy establishes the framework for data protection compliance within [COMPANY NAME] in accordance with EU Regulation 2016/679 (GDPR).</w:t>
      </w:r>
    </w:p>
    <w:p>
      <w:pPr>
        <w:pStyle w:val="Heading2"/>
      </w:pPr>
      <w:r>
        <w:t>2. Scope</w:t>
      </w:r>
    </w:p>
    <w:p>
      <w:r>
        <w:t>This policy applies to all employees, contractors, and third parties who process personal data on behalf of [COMPANY NAME].</w:t>
      </w:r>
    </w:p>
    <w:p>
      <w:pPr>
        <w:pStyle w:val="Heading2"/>
      </w:pPr>
      <w:r>
        <w:t>3. Data Categories</w:t>
      </w:r>
    </w:p>
    <w:p>
      <w:r>
        <w:t>TODO: Define categories of personal data processed by the organisation.</w:t>
      </w:r>
    </w:p>
    <w:p>
      <w:r>
        <w:t>TODO: Add retention periods per data category.</w:t>
      </w:r>
    </w:p>
    <w:p>
      <w:pPr>
        <w:pStyle w:val="Heading2"/>
      </w:pPr>
      <w:r>
        <w:t>4. Data Subject Rights</w:t>
      </w:r>
    </w:p>
    <w:p>
      <w:pPr>
        <w:pStyle w:val="ListBullet"/>
      </w:pPr>
      <w:r>
        <w:t>Right of access (Art. 15 GDPR)</w:t>
      </w:r>
    </w:p>
    <w:p>
      <w:pPr>
        <w:pStyle w:val="ListBullet"/>
      </w:pPr>
      <w:r>
        <w:t>Right to rectification (Art. 16 GDPR)</w:t>
      </w:r>
    </w:p>
    <w:p>
      <w:pPr>
        <w:pStyle w:val="ListBullet"/>
      </w:pPr>
      <w:r>
        <w:t>Right to erasure (Art. 17 GDPR)</w:t>
      </w:r>
    </w:p>
    <w:p>
      <w:pPr>
        <w:pStyle w:val="ListBullet"/>
      </w:pPr>
      <w:r>
        <w:t>Right to data portability (Art. 20 GDPR)</w:t>
      </w:r>
    </w:p>
    <w:p>
      <w:pPr>
        <w:pStyle w:val="Heading2"/>
      </w:pPr>
      <w:r>
        <w:t>5. Breach Notification</w:t>
      </w:r>
    </w:p>
    <w:p>
      <w:r>
        <w:t>In the event of a data breach, [RESPONSIBLE PERSON - TBD] must be notified within 72 hours.</w:t>
      </w:r>
    </w:p>
    <w:p>
      <w:pPr>
        <w:pStyle w:val="Heading2"/>
      </w:pPr>
      <w:r>
        <w:t>6. Review</w:t>
      </w:r>
    </w:p>
    <w:p>
      <w:r>
        <w:t>This policy will be reviewed annually. Next review: [INSERT DATE].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GDPR Data Protection Policy</dc:title>
  <dc:subject>Data protection policy draft</dc:subject>
  <dc:creator>Nacho Carballal — Office of the COO</dc:creator>
  <cp:keywords/>
  <dc:description>generated by python-docx</dc:description>
  <cp:lastModifiedBy/>
  <cp:revision>1</cp:revision>
  <dcterms:created xsi:type="dcterms:W3CDTF">2026-05-01T00:00:00Z</dcterms:created>
  <dcterms:modified xsi:type="dcterms:W3CDTF">2026-05-01T00:00:00Z</dcterms:modified>
  <cp:category/>
</cp:coreProperties>
</file>