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Continuity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Owner:</w:t>
            </w:r>
          </w:p>
        </w:tc>
        <w:tc>
          <w:tcPr>
            <w:tcW w:type="dxa" w:w="4320"/>
          </w:tcPr>
          <w:p>
            <w:r>
              <w:t>COO Office — David Chen</w:t>
            </w:r>
          </w:p>
        </w:tc>
      </w:tr>
      <w:tr>
        <w:tc>
          <w:tcPr>
            <w:tcW w:type="dxa" w:w="4320"/>
          </w:tcPr>
          <w:p>
            <w:r>
              <w:t>Classification:</w:t>
            </w:r>
          </w:p>
        </w:tc>
        <w:tc>
          <w:tcPr>
            <w:tcW w:type="dxa" w:w="4320"/>
          </w:tcPr>
          <w:p>
            <w:r>
              <w:t>confidential</w:t>
            </w:r>
          </w:p>
        </w:tc>
      </w:tr>
      <w:tr>
        <w:tc>
          <w:tcPr>
            <w:tcW w:type="dxa" w:w="4320"/>
          </w:tcPr>
          <w:p>
            <w:r>
              <w:t>Effective Date:</w:t>
            </w:r>
          </w:p>
        </w:tc>
        <w:tc>
          <w:tcPr>
            <w:tcW w:type="dxa" w:w="4320"/>
          </w:tcPr>
          <w:p>
            <w:r>
              <w:t>2025-01-10</w:t>
            </w:r>
          </w:p>
        </w:tc>
      </w:tr>
      <w:tr>
        <w:tc>
          <w:tcPr>
            <w:tcW w:type="dxa" w:w="4320"/>
          </w:tcPr>
          <w:p>
            <w:r>
              <w:t>Review Date:</w:t>
            </w:r>
          </w:p>
        </w:tc>
        <w:tc>
          <w:tcPr>
            <w:tcW w:type="dxa" w:w="4320"/>
          </w:tcPr>
          <w:p>
            <w:r>
              <w:t>2026-01-10</w:t>
            </w:r>
          </w:p>
        </w:tc>
      </w:tr>
    </w:tbl>
    <w:p/>
    <w:p>
      <w:pPr>
        <w:pStyle w:val="Heading1"/>
      </w:pPr>
      <w:r>
        <w:t>Purpose</w:t>
      </w:r>
    </w:p>
    <w:p>
      <w:r>
        <w:t>Ensures continued operation of critical business functions during disruptions.</w:t>
      </w:r>
    </w:p>
    <w:p>
      <w:pPr>
        <w:pStyle w:val="Heading1"/>
      </w:pPr>
      <w:r>
        <w:t>Scope</w:t>
      </w:r>
    </w:p>
    <w:p>
      <w:r>
        <w:t>All critical business processes and IT systems.</w:t>
      </w:r>
    </w:p>
    <w:p>
      <w:pPr>
        <w:pStyle w:val="Heading1"/>
      </w:pPr>
      <w:r>
        <w:t>Owner</w:t>
      </w:r>
    </w:p>
    <w:p>
      <w:r>
        <w:t>Policy owner: COO Office — David Chen.</w:t>
      </w:r>
    </w:p>
    <w:p>
      <w:pPr>
        <w:pStyle w:val="Heading1"/>
      </w:pPr>
      <w:r>
        <w:t>Effective Date</w:t>
      </w:r>
    </w:p>
    <w:p>
      <w:r>
        <w:t>2025-01-10</w:t>
      </w:r>
    </w:p>
    <w:p>
      <w:pPr>
        <w:pStyle w:val="Heading1"/>
      </w:pPr>
      <w:r>
        <w:t>Review Date</w:t>
      </w:r>
    </w:p>
    <w:p>
      <w:r>
        <w:t>2026-01-10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Continuity Plan</dc:title>
  <dc:subject/>
  <dc:creator>COO Office — David Chen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