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CISO Office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2025-03-15</w:t>
            </w:r>
          </w:p>
        </w:tc>
      </w:tr>
    </w:tbl>
    <w:p/>
    <w:p>
      <w:pPr>
        <w:pStyle w:val="Heading1"/>
      </w:pPr>
      <w:r>
        <w:t>Purpose</w:t>
      </w:r>
    </w:p>
    <w:p>
      <w:r>
        <w:t>Guides the team through detecting, containing, and recovering from security incidents.</w:t>
      </w:r>
    </w:p>
    <w:p>
      <w:pPr>
        <w:pStyle w:val="Heading1"/>
      </w:pPr>
      <w:r>
        <w:t>Scope</w:t>
      </w:r>
    </w:p>
    <w:p>
      <w:r>
        <w:t>All IT staff and the security operations team.</w:t>
      </w:r>
    </w:p>
    <w:p>
      <w:pPr>
        <w:pStyle w:val="Heading1"/>
      </w:pPr>
      <w:r>
        <w:t>Owner</w:t>
      </w:r>
    </w:p>
    <w:p>
      <w:r>
        <w:t>CISO Office</w:t>
      </w:r>
    </w:p>
    <w:p>
      <w:pPr>
        <w:pStyle w:val="Heading1"/>
      </w:pPr>
      <w:r>
        <w:t>Steps</w:t>
      </w:r>
    </w:p>
    <w:p>
      <w:r>
        <w:t>1. Detect the incident via SIEM alerts or user reports.</w:t>
      </w:r>
    </w:p>
    <w:p>
      <w:r>
        <w:t>2. Classify severity (P1–P4) using the incident matrix.</w:t>
      </w:r>
    </w:p>
    <w:p>
      <w:r>
        <w:t>3. Contain the threat: isolate affected systems.</w:t>
      </w:r>
    </w:p>
    <w:p>
      <w:r>
        <w:t>4. Notify stakeholders per the communication tree.</w:t>
      </w:r>
    </w:p>
    <w:p>
      <w:r>
        <w:t>5. Eradicate root cause and restore services.</w:t>
      </w:r>
    </w:p>
    <w:p>
      <w:r>
        <w:t>6. Write a post-incident report within 72 hours.</w:t>
      </w:r>
    </w:p>
    <w:p>
      <w:pPr>
        <w:pStyle w:val="Heading1"/>
      </w:pPr>
      <w:r>
        <w:t>Last Updated</w:t>
      </w:r>
    </w:p>
    <w:p>
      <w:r>
        <w:t>2025-03-15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Procedure</dc:title>
  <dc:subject/>
  <dc:creator>CISO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