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and Authentication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IT Security — Lena Fischer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</w:tbl>
    <w:p/>
    <w:p>
      <w:pPr>
        <w:pStyle w:val="Heading1"/>
      </w:pPr>
      <w:r>
        <w:t>Purpose</w:t>
      </w:r>
    </w:p>
    <w:p>
      <w:r>
        <w:t>Mandates strong authentication controls for all company accounts.</w:t>
      </w:r>
    </w:p>
    <w:p>
      <w:pPr>
        <w:pStyle w:val="Heading1"/>
      </w:pPr>
      <w:r>
        <w:t>Scope</w:t>
      </w:r>
    </w:p>
    <w:p>
      <w:r>
        <w:t>All staff, contractors, and system accounts.</w:t>
      </w:r>
    </w:p>
    <w:p>
      <w:pPr>
        <w:pStyle w:val="Heading1"/>
      </w:pPr>
      <w:r>
        <w:t>Owner</w:t>
      </w:r>
    </w:p>
    <w:p>
      <w:r>
        <w:t>Policy owner: IT Security — Lena Fischer.</w:t>
      </w:r>
    </w:p>
    <w:p>
      <w:pPr>
        <w:pStyle w:val="Heading1"/>
      </w:pPr>
      <w:r>
        <w:t>Effective Date</w:t>
      </w:r>
    </w:p>
    <w:p>
      <w:r>
        <w:t>2024-11-01</w:t>
      </w:r>
    </w:p>
    <w:p>
      <w:pPr>
        <w:pStyle w:val="Heading1"/>
      </w:pPr>
      <w:r>
        <w:t>Review Date</w:t>
      </w:r>
    </w:p>
    <w:p>
      <w:r>
        <w:t>2025-11-01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and Authentication Policy</dc:title>
  <dc:subject/>
  <dc:creator>IT Security — Lena Fischer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