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Charter — Legacy BI Modernisation</w:t>
      </w:r>
    </w:p>
    <w:p>
      <w:pPr>
        <w:pStyle w:val="Heading1"/>
      </w:pPr>
      <w:r>
        <w:t>Objective</w:t>
      </w:r>
    </w:p>
    <w:p>
      <w:r>
        <w:t>Migrate legacy Cognos reports to a modern BI platform.</w:t>
      </w:r>
    </w:p>
    <w:p>
      <w:pPr>
        <w:pStyle w:val="Heading1"/>
      </w:pPr>
      <w:r>
        <w:t>Scope</w:t>
      </w:r>
    </w:p>
    <w:p>
      <w:r>
        <w:t>Finance and Operations reporting. Excludes HR.</w:t>
      </w:r>
    </w:p>
    <w:p>
      <w:pPr>
        <w:pStyle w:val="Heading1"/>
      </w:pPr>
      <w:r>
        <w:t>Milestones</w:t>
      </w:r>
    </w:p>
    <w:p>
      <w:r>
        <w:t>• 2020-Q3: Vendor selection</w:t>
        <w:br/>
        <w:t>• 2021-Q1: Migration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