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 — Acme Analytics Ltd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Head of Procurement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Counterparty:</w:t>
            </w:r>
          </w:p>
        </w:tc>
        <w:tc>
          <w:tcPr>
            <w:tcW w:type="dxa" w:w="4320"/>
          </w:tcPr>
          <w:p>
            <w:r>
              <w:t>Acme Analytics Ltd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Expiry Date:</w:t>
            </w:r>
          </w:p>
        </w:tc>
        <w:tc>
          <w:tcPr>
            <w:tcW w:type="dxa" w:w="4320"/>
          </w:tcPr>
          <w:p>
            <w:r>
              <w:t>2027-09-01</w:t>
            </w:r>
          </w:p>
        </w:tc>
      </w:tr>
    </w:tbl>
    <w:p/>
    <w:p>
      <w:pPr>
        <w:pStyle w:val="Heading1"/>
      </w:pPr>
      <w:r>
        <w:t>Parties</w:t>
      </w:r>
    </w:p>
    <w:p>
      <w:r>
        <w:t>Acme Analytics Ltd</w:t>
      </w:r>
    </w:p>
    <w:p>
      <w:pPr>
        <w:pStyle w:val="Heading1"/>
      </w:pPr>
      <w:r>
        <w:t>Term</w:t>
      </w:r>
    </w:p>
    <w:p>
      <w:r>
        <w:t>3 years from Effective Date</w:t>
      </w:r>
    </w:p>
    <w:p>
      <w:pPr>
        <w:pStyle w:val="Heading1"/>
      </w:pPr>
      <w:r>
        <w:t>Effective Date</w:t>
      </w:r>
    </w:p>
    <w:p>
      <w:r>
        <w:t>2024-09-01</w:t>
      </w:r>
    </w:p>
    <w:p>
      <w:pPr>
        <w:pStyle w:val="Heading1"/>
      </w:pPr>
      <w:r>
        <w:t>Termination</w:t>
      </w:r>
    </w:p>
    <w:p>
      <w:r>
        <w:t>Either party may terminate with 90 days written notice.</w:t>
      </w:r>
    </w:p>
    <w:p>
      <w:pPr>
        <w:pStyle w:val="Heading1"/>
      </w:pPr>
      <w:r>
        <w:t>Signatures</w:t>
      </w:r>
    </w:p>
    <w:p>
      <w:r>
        <w:t>Authorised signatories as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 — Acme Analytics Ltd</dc:title>
  <dc:subject/>
  <dc:creator>Head of Procurement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