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Classification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Jane Smith, Information Security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confidential</w:t>
            </w:r>
          </w:p>
        </w:tc>
      </w:tr>
      <w:tr>
        <w:tc>
          <w:tcPr>
            <w:tcW w:type="dxa" w:w="4320"/>
          </w:tcPr>
          <w:p>
            <w:r>
              <w:t>Effective Date:</w:t>
            </w:r>
          </w:p>
        </w:tc>
        <w:tc>
          <w:tcPr>
            <w:tcW w:type="dxa" w:w="4320"/>
          </w:tcPr>
          <w:p>
            <w:r>
              <w:t>2024-01-15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</w:tbl>
    <w:p/>
    <w:p>
      <w:pPr>
        <w:pStyle w:val="Heading1"/>
      </w:pPr>
      <w:r>
        <w:t>Purpose</w:t>
      </w:r>
    </w:p>
    <w:p>
      <w:r>
        <w:t>Establishes requirements for classifying and handling company data.</w:t>
      </w:r>
    </w:p>
    <w:p>
      <w:pPr>
        <w:pStyle w:val="Heading1"/>
      </w:pPr>
      <w:r>
        <w:t>Scope</w:t>
      </w:r>
    </w:p>
    <w:p>
      <w:r>
        <w:t>All employees, contractors, and third parties accessing company data.</w:t>
      </w:r>
    </w:p>
    <w:p>
      <w:pPr>
        <w:pStyle w:val="Heading1"/>
      </w:pPr>
      <w:r>
        <w:t>Owner</w:t>
      </w:r>
    </w:p>
    <w:p>
      <w:r>
        <w:t>Policy owner: Jane Smith, Information Security.</w:t>
      </w:r>
    </w:p>
    <w:p>
      <w:pPr>
        <w:pStyle w:val="Heading1"/>
      </w:pPr>
      <w:r>
        <w:t>Effective Date</w:t>
      </w:r>
    </w:p>
    <w:p>
      <w:r>
        <w:t>2024-01-15</w:t>
      </w:r>
    </w:p>
    <w:p>
      <w:pPr>
        <w:pStyle w:val="Heading1"/>
      </w:pPr>
      <w:r>
        <w:t>Review Date</w:t>
      </w:r>
    </w:p>
    <w:p>
      <w:r>
        <w:t>2026-01-15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Classification Policy</dc:title>
  <dc:subject/>
  <dc:creator>Jane Smith, Information 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