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Legal &amp; Compliance Team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confidential</w:t>
            </w:r>
          </w:p>
        </w:tc>
      </w:tr>
      <w:tr>
        <w:tc>
          <w:tcPr>
            <w:tcW w:type="dxa" w:w="4320"/>
          </w:tcPr>
          <w:p>
            <w:r>
              <w:t>Effective Date: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Review Date: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</w:tbl>
    <w:p/>
    <w:p>
      <w:pPr>
        <w:pStyle w:val="Heading1"/>
      </w:pPr>
      <w:r>
        <w:t>Purpose</w:t>
      </w:r>
    </w:p>
    <w:p>
      <w:r>
        <w:t>Describes how the company collects, uses, and protects personal data per GDPR.</w:t>
      </w:r>
    </w:p>
    <w:p>
      <w:pPr>
        <w:pStyle w:val="Heading1"/>
      </w:pPr>
      <w:r>
        <w:t>Scope</w:t>
      </w:r>
    </w:p>
    <w:p>
      <w:r>
        <w:t>All data subjects whose personal data the company processes.</w:t>
      </w:r>
    </w:p>
    <w:p>
      <w:pPr>
        <w:pStyle w:val="Heading1"/>
      </w:pPr>
      <w:r>
        <w:t>Owner</w:t>
      </w:r>
    </w:p>
    <w:p>
      <w:r>
        <w:t>Policy owner: Legal &amp; Compliance Team.</w:t>
      </w:r>
    </w:p>
    <w:p>
      <w:pPr>
        <w:pStyle w:val="Heading1"/>
      </w:pPr>
      <w:r>
        <w:t>Effective Date</w:t>
      </w:r>
    </w:p>
    <w:p>
      <w:r>
        <w:t>2024-03-01</w:t>
      </w:r>
    </w:p>
    <w:p>
      <w:pPr>
        <w:pStyle w:val="Heading1"/>
      </w:pPr>
      <w:r>
        <w:t>Review Date</w:t>
      </w:r>
    </w:p>
    <w:p>
      <w:r>
        <w:t>2026-03-01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Privacy Policy</dc:title>
  <dc:subject/>
  <dc:creator>Legal &amp; Compliance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