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Status Report — Week of 9 March 2020</w:t>
      </w:r>
    </w:p>
    <w:p>
      <w:pPr>
        <w:pStyle w:val="Heading1"/>
      </w:pPr>
      <w:r>
        <w:t>Period</w:t>
      </w:r>
    </w:p>
    <w:p>
      <w:r>
        <w:t>9 March – 13 March 2020</w:t>
      </w:r>
    </w:p>
    <w:p>
      <w:pPr>
        <w:pStyle w:val="Heading1"/>
      </w:pPr>
      <w:r>
        <w:t>Status</w:t>
      </w:r>
    </w:p>
    <w:p>
      <w:r>
        <w:t>AMBER — COVID-19 impact on office attendance.</w:t>
      </w:r>
    </w:p>
    <w:p>
      <w:pPr>
        <w:pStyle w:val="Heading1"/>
      </w:pPr>
      <w:r>
        <w:t>Risks</w:t>
      </w:r>
    </w:p>
    <w:p>
      <w:r>
        <w:t>Remote work tooling not yet deployed for all staff.</w:t>
      </w:r>
    </w:p>
    <w:p>
      <w:pPr>
        <w:pStyle w:val="Heading1"/>
      </w:pPr>
      <w:r>
        <w:t>Next Steps</w:t>
      </w:r>
    </w:p>
    <w:p>
      <w:r>
        <w:t>Finalise remote access rollout by 20 March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