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Retention and Disposal Procedure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Owner:</w:t>
            </w:r>
          </w:p>
        </w:tc>
        <w:tc>
          <w:tcPr>
            <w:tcW w:type="dxa" w:w="4320"/>
          </w:tcPr>
          <w:p>
            <w:r>
              <w:t>Data Governance Team</w:t>
            </w:r>
          </w:p>
        </w:tc>
      </w:tr>
      <w:tr>
        <w:tc>
          <w:tcPr>
            <w:tcW w:type="dxa" w:w="4320"/>
          </w:tcPr>
          <w:p>
            <w:r>
              <w:t>Classification:</w:t>
            </w:r>
          </w:p>
        </w:tc>
        <w:tc>
          <w:tcPr>
            <w:tcW w:type="dxa" w:w="4320"/>
          </w:tcPr>
          <w:p>
            <w:r>
              <w:t>internal</w:t>
            </w:r>
          </w:p>
        </w:tc>
      </w:tr>
      <w:tr>
        <w:tc>
          <w:tcPr>
            <w:tcW w:type="dxa" w:w="4320"/>
          </w:tcPr>
          <w:p>
            <w:r>
              <w:t>Review Date:</w:t>
            </w:r>
          </w:p>
        </w:tc>
        <w:tc>
          <w:tcPr>
            <w:tcW w:type="dxa" w:w="4320"/>
          </w:tcPr>
          <w:p>
            <w:r>
              <w:t>2025-04-01</w:t>
            </w:r>
          </w:p>
        </w:tc>
      </w:tr>
    </w:tbl>
    <w:p/>
    <w:p>
      <w:pPr>
        <w:pStyle w:val="Heading1"/>
      </w:pPr>
      <w:r>
        <w:t>Purpose</w:t>
      </w:r>
    </w:p>
    <w:p>
      <w:r>
        <w:t>Defines how data is retained, archived, and securely disposed of.</w:t>
      </w:r>
    </w:p>
    <w:p>
      <w:pPr>
        <w:pStyle w:val="Heading1"/>
      </w:pPr>
      <w:r>
        <w:t>Scope</w:t>
      </w:r>
    </w:p>
    <w:p>
      <w:r>
        <w:t>All business units holding personal or sensitive data.</w:t>
      </w:r>
    </w:p>
    <w:p>
      <w:pPr>
        <w:pStyle w:val="Heading1"/>
      </w:pPr>
      <w:r>
        <w:t>Owner</w:t>
      </w:r>
    </w:p>
    <w:p>
      <w:r>
        <w:t>Data Governance Team</w:t>
      </w:r>
    </w:p>
    <w:p>
      <w:pPr>
        <w:pStyle w:val="Heading1"/>
      </w:pPr>
      <w:r>
        <w:t>Steps</w:t>
      </w:r>
    </w:p>
    <w:p>
      <w:r>
        <w:t>1. Classify data and determine retention period from the retention schedule.</w:t>
      </w:r>
    </w:p>
    <w:p>
      <w:r>
        <w:t>2. Archive data to cold storage at retention threshold.</w:t>
      </w:r>
    </w:p>
    <w:p>
      <w:r>
        <w:t>3. Initiate secure deletion review at end-of-life.</w:t>
      </w:r>
    </w:p>
    <w:p>
      <w:r>
        <w:t>4. Record disposal in the data asset register.</w:t>
      </w:r>
    </w:p>
    <w:p>
      <w:r>
        <w:t>5. Update the retention schedule quarterly.</w:t>
      </w:r>
    </w:p>
    <w:p>
      <w:pPr>
        <w:pStyle w:val="Heading1"/>
      </w:pPr>
      <w:r>
        <w:t>Last Updated</w:t>
      </w:r>
    </w:p>
    <w:p>
      <w:r>
        <w:t>2025-04-01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Retention and Disposal Procedure</dc:title>
  <dc:subject/>
  <dc:creator>Luca Cesari — Data Governance Office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