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Third-Party Risk Management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Head of Risk, Sarah Okafor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Effective Date:</w:t>
            </w:r>
          </w:p>
        </w:tc>
        <w:tc>
          <w:tcPr>
            <w:tcW w:type="dxa" w:w="4320"/>
          </w:tcPr>
          <w:p>
            <w:r>
              <w:t>2024-06-01</w:t>
            </w:r>
          </w:p>
        </w:tc>
      </w:tr>
      <w:tr>
        <w:tc>
          <w:tcPr>
            <w:tcW w:type="dxa" w:w="4320"/>
          </w:tcPr>
          <w:p>
            <w:r>
              <w:t>Review Date: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</w:tbl>
    <w:p/>
    <w:p>
      <w:pPr>
        <w:pStyle w:val="Heading1"/>
      </w:pPr>
      <w:r>
        <w:t>Purpose</w:t>
      </w:r>
    </w:p>
    <w:p>
      <w:r>
        <w:t>Defines requirements for assessing and managing risks from third-party suppliers.</w:t>
      </w:r>
    </w:p>
    <w:p>
      <w:pPr>
        <w:pStyle w:val="Heading1"/>
      </w:pPr>
      <w:r>
        <w:t>Scope</w:t>
      </w:r>
    </w:p>
    <w:p>
      <w:r>
        <w:t>All business units that engage third-party vendors or contractors.</w:t>
      </w:r>
    </w:p>
    <w:p>
      <w:pPr>
        <w:pStyle w:val="Heading1"/>
      </w:pPr>
      <w:r>
        <w:t>Owner</w:t>
      </w:r>
    </w:p>
    <w:p>
      <w:r>
        <w:t>Policy owner: Head of Risk, Sarah Okafor.</w:t>
      </w:r>
    </w:p>
    <w:p>
      <w:pPr>
        <w:pStyle w:val="Heading1"/>
      </w:pPr>
      <w:r>
        <w:t>Effective Date</w:t>
      </w:r>
    </w:p>
    <w:p>
      <w:r>
        <w:t>2024-06-01</w:t>
      </w:r>
    </w:p>
    <w:p>
      <w:pPr>
        <w:pStyle w:val="Heading1"/>
      </w:pPr>
      <w:r>
        <w:t>Review Date</w:t>
      </w:r>
    </w:p>
    <w:p>
      <w:r>
        <w:t>2025-12-01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Third-Party Risk Management Policy</dc:title>
  <dc:subject/>
  <dc:creator>Augusto Marín — Security &amp; Compliance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