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t xml:space="preserve"/>
      </w:r>
    </w:p>
    <w:p>
      <w:pPr>
        <w:spacing w:after="120"/>
        <w:jc w:val="center"/>
      </w:pPr>
      <w:r>
        <w:rPr>
          <w:rFonts w:ascii="Calibri" w:cs="Calibri" w:eastAsia="Calibri" w:hAnsi="Calibri"/>
          <w:b/>
          <w:bCs/>
          <w:color w:val="8A6A2E"/>
          <w:spacing w:val="60"/>
          <w:sz w:val="18"/>
          <w:szCs w:val="18"/>
        </w:rPr>
        <w:t xml:space="preserve">HOTELMARKET</w:t>
      </w:r>
    </w:p>
    <w:p>
      <w:pPr>
        <w:spacing w:after="40"/>
        <w:jc w:val="center"/>
      </w:pPr>
      <w:r>
        <w:rPr>
          <w:rFonts w:ascii="Calibri" w:cs="Calibri" w:eastAsia="Calibri" w:hAnsi="Calibri"/>
          <w:i/>
          <w:iCs/>
          <w:color w:val="8A8072"/>
          <w:sz w:val="16"/>
          <w:szCs w:val="16"/>
        </w:rPr>
        <w:t xml:space="preserve">(nom de code du projet)</w:t>
      </w:r>
    </w:p>
    <w:p>
      <w:pPr>
        <w:spacing w:after="500"/>
      </w:pPr>
      <w:r>
        <w:t xml:space="preserve"/>
      </w:r>
    </w:p>
    <w:p>
      <w:pPr>
        <w:spacing w:after="160"/>
        <w:jc w:val="center"/>
      </w:pPr>
      <w:r>
        <w:rPr>
          <w:rFonts w:ascii="Georgia" w:cs="Georgia" w:eastAsia="Georgia" w:hAnsi="Georgia"/>
          <w:b/>
          <w:bCs/>
          <w:color w:val="16233D"/>
          <w:sz w:val="46"/>
          <w:szCs w:val="46"/>
        </w:rPr>
        <w:t xml:space="preserve">L'algorithme de valorisation</w:t>
      </w:r>
    </w:p>
    <w:p>
      <w:pPr>
        <w:spacing w:after="600"/>
        <w:jc w:val="center"/>
      </w:pPr>
      <w:r>
        <w:rPr>
          <w:rFonts w:ascii="Calibri" w:cs="Calibri" w:eastAsia="Calibri" w:hAnsi="Calibri"/>
          <w:color w:val="2C4470"/>
          <w:sz w:val="24"/>
          <w:szCs w:val="24"/>
        </w:rPr>
        <w:t xml:space="preserve">Comment la fourchette d'estimation est calculée</w:t>
      </w:r>
    </w:p>
    <w:p>
      <w:pPr>
        <w:pBdr>
          <w:top w:val="single" w:color="8A6A2E" w:sz="6" w:space="12"/>
        </w:pBdr>
        <w:spacing w:after="200" w:before="200"/>
        <w:jc w:val="center"/>
      </w:pPr>
      <w:r>
        <w:t xml:space="preserve"/>
      </w:r>
    </w:p>
    <w:p>
      <w:pPr>
        <w:spacing w:after="80"/>
        <w:jc w:val="center"/>
      </w:pPr>
      <w:r>
        <w:rPr>
          <w:rFonts w:ascii="Calibri" w:cs="Calibri" w:eastAsia="Calibri" w:hAnsi="Calibri"/>
          <w:color w:val="4D463D"/>
          <w:sz w:val="19"/>
          <w:szCs w:val="19"/>
        </w:rPr>
        <w:t xml:space="preserve">Document technique et méthodologique — 28 juillet 2026</w:t>
      </w:r>
    </w:p>
    <w:p>
      <w:pPr>
        <w:spacing w:after="80"/>
        <w:jc w:val="center"/>
      </w:pPr>
      <w:r>
        <w:rPr>
          <w:rFonts w:ascii="Calibri" w:cs="Calibri" w:eastAsia="Calibri" w:hAnsi="Calibri"/>
          <w:color w:val="4D463D"/>
          <w:sz w:val="19"/>
          <w:szCs w:val="19"/>
        </w:rPr>
        <w:t xml:space="preserve">Version en service à la Phase 0</w:t>
      </w:r>
    </w:p>
    <w:p>
      <w:r>
        <w:br w:type="page"/>
      </w:r>
    </w:p>
    <w:p>
      <w:pPr>
        <w:pStyle w:val="Heading1"/>
        <w:spacing w:after="200" w:before="360"/>
      </w:pPr>
      <w:r>
        <w:rPr>
          <w:rFonts w:ascii="Georgia" w:cs="Georgia" w:eastAsia="Georgia" w:hAnsi="Georgia"/>
          <w:b/>
          <w:bCs/>
          <w:color w:val="16233D"/>
          <w:sz w:val="32"/>
          <w:szCs w:val="32"/>
        </w:rPr>
        <w:t xml:space="preserve">1. Ce que l'estimation est, et ce qu'elle n'est pas</w:t>
      </w:r>
    </w:p>
    <w:p>
      <w:pPr>
        <w:spacing w:after="160" w:line="276"/>
      </w:pPr>
      <w:r>
        <w:rPr>
          <w:rFonts w:ascii="Calibri" w:cs="Calibri" w:eastAsia="Calibri" w:hAnsi="Calibri"/>
          <w:color w:val="1A1A1A"/>
          <w:sz w:val="21"/>
          <w:szCs w:val="21"/>
        </w:rPr>
        <w:t xml:space="preserve">L'outil calcule une fourchette de valeur indicative pour un hôtel, à partir de quelques informations que le propriétaire renseigne lui-même. Il applique deux méthodes couramment utilisées par les professionnels de la transaction hôtelière et en croise les résultats.</w:t>
      </w:r>
    </w:p>
    <w:p>
      <w:pPr>
        <w:spacing w:after="80"/>
      </w:pPr>
      <w:r>
        <w:t xml:space="preserve"/>
      </w:r>
    </w:p>
    <w:tbl>
      <w:tblPr>
        <w:tblW w:type="dxa" w:w="9360"/>
        <w:tblBorders>
          <w:top w:val="single" w:color="E6DDD0" w:sz="2"/>
          <w:left w:val="single" w:color="8A6A2E" w:sz="18"/>
          <w:bottom w:val="single" w:color="E6DDD0" w:sz="2"/>
          <w:right w:val="single" w:color="E6DDD0" w:sz="2"/>
          <w:insideH w:val="none"/>
          <w:insideV w:val="none"/>
        </w:tblBorders>
      </w:tblPr>
      <w:tblGrid>
        <w:gridCol w:w="9360"/>
      </w:tblGrid>
      <w:tr>
        <w:tc>
          <w:tcPr>
            <w:tcW w:type="dxa" w:w="9360"/>
            <w:shd w:fill="F2EDE5" w:val="clear"/>
            <w:tcMar>
              <w:top w:type="dxa" w:w="160"/>
              <w:left w:type="dxa" w:w="200"/>
              <w:bottom w:type="dxa" w:w="160"/>
              <w:right w:type="dxa" w:w="200"/>
            </w:tcMar>
          </w:tcPr>
          <w:p>
            <w:pPr>
              <w:spacing w:after="0" w:line="276"/>
            </w:pPr>
            <w:r>
              <w:rPr>
                <w:rFonts w:ascii="Calibri" w:cs="Calibri" w:eastAsia="Calibri" w:hAnsi="Calibri"/>
                <w:b/>
                <w:bCs/>
                <w:color w:val="4D463D"/>
                <w:sz w:val="20"/>
                <w:szCs w:val="20"/>
              </w:rPr>
              <w:t xml:space="preserve">Ce n'est pas une expertise. </w:t>
            </w:r>
            <w:r>
              <w:rPr>
                <w:rFonts w:ascii="Calibri" w:cs="Calibri" w:eastAsia="Calibri" w:hAnsi="Calibri"/>
                <w:color w:val="4D463D"/>
                <w:sz w:val="20"/>
                <w:szCs w:val="20"/>
              </w:rPr>
              <w:t xml:space="preserve">Aucun algorithme ne remplace la visite d'un établissement, l'examen de ses comptes et la connaissance fine d'un marché local. L'outil donne un premier repère sérieux, pas un prix de vente. Cette mention figure sur la page de résultat et dans le courriel envoyé au propriétaire — c'est une exigence d'honnêteté autant qu'une précaution.</w:t>
            </w:r>
          </w:p>
        </w:tc>
      </w:tr>
    </w:tbl>
    <w:p>
      <w:pPr>
        <w:spacing w:after="160"/>
      </w:pPr>
      <w:r>
        <w:t xml:space="preserve"/>
      </w:r>
    </w:p>
    <w:p>
      <w:pPr>
        <w:spacing w:after="160" w:line="276"/>
      </w:pPr>
      <w:r>
        <w:rPr>
          <w:rFonts w:ascii="Calibri" w:cs="Calibri" w:eastAsia="Calibri" w:hAnsi="Calibri"/>
          <w:color w:val="1A1A1A"/>
          <w:sz w:val="21"/>
          <w:szCs w:val="21"/>
        </w:rPr>
        <w:t xml:space="preserve">Le résultat est toujours présenté sous forme de fourchette, jamais de chiffre unique, et toujours accompagné de l'explication de la méthode retenue. Une valorisation flatteuse mais fausse ruinerait la crédibilité du service — et c'est précisément la crédibilité qui constitue le produit.</w:t>
      </w:r>
    </w:p>
    <w:p>
      <w:pPr>
        <w:pStyle w:val="Heading1"/>
        <w:spacing w:after="200" w:before="360"/>
      </w:pPr>
      <w:r>
        <w:rPr>
          <w:rFonts w:ascii="Georgia" w:cs="Georgia" w:eastAsia="Georgia" w:hAnsi="Georgia"/>
          <w:b/>
          <w:bCs/>
          <w:color w:val="16233D"/>
          <w:sz w:val="32"/>
          <w:szCs w:val="32"/>
        </w:rPr>
        <w:t xml:space="preserve">2. Les informations utilisées</w:t>
      </w:r>
    </w:p>
    <w:p>
      <w:pPr>
        <w:spacing w:after="160" w:line="276"/>
      </w:pPr>
      <w:r>
        <w:rPr>
          <w:rFonts w:ascii="Calibri" w:cs="Calibri" w:eastAsia="Calibri" w:hAnsi="Calibri"/>
          <w:color w:val="1A1A1A"/>
          <w:sz w:val="21"/>
          <w:szCs w:val="21"/>
        </w:rPr>
        <w:t xml:space="preserve">Le formulaire demande six informations, dont deux facultatives :</w:t>
      </w:r>
    </w:p>
    <w:p>
      <w:pPr>
        <w:spacing w:after="80"/>
      </w:pPr>
      <w:r>
        <w:t xml:space="preserve"/>
      </w:r>
    </w:p>
    <w:tbl>
      <w:tblPr>
        <w:tblW w:type="dxa" w:w="9360"/>
        <w:tblBorders>
          <w:top w:val="single" w:color="D9D2C6" w:sz="2"/>
          <w:left w:val="single" w:color="D9D2C6" w:sz="2"/>
          <w:bottom w:val="single" w:color="D9D2C6" w:sz="2"/>
          <w:right w:val="single" w:color="D9D2C6" w:sz="2"/>
          <w:insideH w:val="single" w:color="E6DDD0" w:sz="1"/>
          <w:insideV w:val="single" w:color="E6DDD0" w:sz="1"/>
        </w:tblBorders>
      </w:tblPr>
      <w:tblGrid>
        <w:gridCol w:w="2900"/>
        <w:gridCol w:w="1500"/>
        <w:gridCol w:w="4960"/>
      </w:tblGrid>
      <w:tr>
        <w:trPr>
          <w:tblHeader/>
        </w:trPr>
        <w:tc>
          <w:tcPr>
            <w:tcW w:type="dxa" w:w="2900"/>
            <w:shd w:fill="16233D"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Information</w:t>
            </w:r>
          </w:p>
        </w:tc>
        <w:tc>
          <w:tcPr>
            <w:tcW w:type="dxa" w:w="1500"/>
            <w:shd w:fill="16233D"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Obligatoire</w:t>
            </w:r>
          </w:p>
        </w:tc>
        <w:tc>
          <w:tcPr>
            <w:tcW w:type="dxa" w:w="4960"/>
            <w:shd w:fill="16233D"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Rôle dans le calcul</w:t>
            </w:r>
          </w:p>
        </w:tc>
      </w:tr>
      <w:tr>
        <w:tc>
          <w:tcPr>
            <w:tcW w:type="dxa" w:w="2900"/>
            <w:shd w:fill="FFFFFF"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Région et département</w:t>
            </w:r>
          </w:p>
        </w:tc>
        <w:tc>
          <w:tcPr>
            <w:tcW w:type="dxa" w:w="150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Oui</w:t>
            </w:r>
          </w:p>
        </w:tc>
        <w:tc>
          <w:tcPr>
            <w:tcW w:type="dxa" w:w="496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Détermine le coefficient géographique</w:t>
            </w:r>
          </w:p>
        </w:tc>
      </w:tr>
      <w:tr>
        <w:tc>
          <w:tcPr>
            <w:tcW w:type="dxa" w:w="2900"/>
            <w:shd w:fill="FAF8F5"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Type d'opération</w:t>
            </w:r>
          </w:p>
        </w:tc>
        <w:tc>
          <w:tcPr>
            <w:tcW w:type="dxa" w:w="150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Oui</w:t>
            </w:r>
          </w:p>
        </w:tc>
        <w:tc>
          <w:tcPr>
            <w:tcW w:type="dxa" w:w="496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Applique un facteur de décote</w:t>
            </w:r>
          </w:p>
        </w:tc>
      </w:tr>
      <w:tr>
        <w:tc>
          <w:tcPr>
            <w:tcW w:type="dxa" w:w="2900"/>
            <w:shd w:fill="FFFFFF"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Nombre de chambres</w:t>
            </w:r>
          </w:p>
        </w:tc>
        <w:tc>
          <w:tcPr>
            <w:tcW w:type="dxa" w:w="150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Oui</w:t>
            </w:r>
          </w:p>
        </w:tc>
        <w:tc>
          <w:tcPr>
            <w:tcW w:type="dxa" w:w="496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Base de la méthode « prix à la chambre »</w:t>
            </w:r>
          </w:p>
        </w:tc>
      </w:tr>
      <w:tr>
        <w:tc>
          <w:tcPr>
            <w:tcW w:type="dxa" w:w="2900"/>
            <w:shd w:fill="FAF8F5"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Classement en étoiles</w:t>
            </w:r>
          </w:p>
        </w:tc>
        <w:tc>
          <w:tcPr>
            <w:tcW w:type="dxa" w:w="150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Oui</w:t>
            </w:r>
          </w:p>
        </w:tc>
        <w:tc>
          <w:tcPr>
            <w:tcW w:type="dxa" w:w="496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Détermine les coefficients de base</w:t>
            </w:r>
          </w:p>
        </w:tc>
      </w:tr>
      <w:tr>
        <w:tc>
          <w:tcPr>
            <w:tcW w:type="dxa" w:w="2900"/>
            <w:shd w:fill="FFFFFF"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Chiffre d'affaires annuel</w:t>
            </w:r>
          </w:p>
        </w:tc>
        <w:tc>
          <w:tcPr>
            <w:tcW w:type="dxa" w:w="150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Non</w:t>
            </w:r>
          </w:p>
        </w:tc>
        <w:tc>
          <w:tcPr>
            <w:tcW w:type="dxa" w:w="496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Permet d'estimer l'EBITDA s'il manque</w:t>
            </w:r>
          </w:p>
        </w:tc>
      </w:tr>
      <w:tr>
        <w:tc>
          <w:tcPr>
            <w:tcW w:type="dxa" w:w="2900"/>
            <w:shd w:fill="FAF8F5"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EBITDA annuel</w:t>
            </w:r>
          </w:p>
        </w:tc>
        <w:tc>
          <w:tcPr>
            <w:tcW w:type="dxa" w:w="150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Non</w:t>
            </w:r>
          </w:p>
        </w:tc>
        <w:tc>
          <w:tcPr>
            <w:tcW w:type="dxa" w:w="496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Base de la méthode « multiple d'EBITDA »</w:t>
            </w:r>
          </w:p>
        </w:tc>
      </w:tr>
    </w:tbl>
    <w:p>
      <w:pPr>
        <w:spacing w:after="120"/>
      </w:pPr>
      <w:r>
        <w:t xml:space="preserve"/>
      </w:r>
    </w:p>
    <w:p>
      <w:pPr>
        <w:spacing w:after="160" w:line="276"/>
      </w:pPr>
      <w:r>
        <w:rPr>
          <w:rFonts w:ascii="Calibri" w:cs="Calibri" w:eastAsia="Calibri" w:hAnsi="Calibri"/>
          <w:color w:val="1A1A1A"/>
          <w:sz w:val="21"/>
          <w:szCs w:val="21"/>
        </w:rPr>
        <w:t xml:space="preserve">La présence d'une licence IV est également recueillie. Elle constitue un élément de valeur reconnu du marché, mais n'entre pas encore dans le calcul : c'est l'une des améliorations identifiées.</w:t>
      </w:r>
    </w:p>
    <w:p>
      <w:pPr>
        <w:spacing w:after="160" w:line="276"/>
      </w:pPr>
      <w:r>
        <w:rPr>
          <w:rFonts w:ascii="Calibri" w:cs="Calibri" w:eastAsia="Calibri" w:hAnsi="Calibri"/>
          <w:color w:val="1A1A1A"/>
          <w:sz w:val="21"/>
          <w:szCs w:val="21"/>
        </w:rPr>
        <w:t xml:space="preserve">Si ni le chiffre d'affaires ni l'EBITDA ne sont renseignés, l'estimation reste possible mais s'appuie sur une seule méthode ; la fourchette est alors mécaniquement plus large et moins fiable. Le formulaire l'indique au propriétaire.</w:t>
      </w:r>
    </w:p>
    <w:p>
      <w:pPr>
        <w:pStyle w:val="Heading1"/>
        <w:spacing w:after="200" w:before="360"/>
      </w:pPr>
      <w:r>
        <w:rPr>
          <w:rFonts w:ascii="Georgia" w:cs="Georgia" w:eastAsia="Georgia" w:hAnsi="Georgia"/>
          <w:b/>
          <w:bCs/>
          <w:color w:val="16233D"/>
          <w:sz w:val="32"/>
          <w:szCs w:val="32"/>
        </w:rPr>
        <w:t xml:space="preserve">3. Les deux méthodes employées</w:t>
      </w:r>
    </w:p>
    <w:p>
      <w:pPr>
        <w:pStyle w:val="Heading2"/>
        <w:spacing w:after="140" w:before="280"/>
      </w:pPr>
      <w:r>
        <w:rPr>
          <w:rFonts w:ascii="Georgia" w:cs="Georgia" w:eastAsia="Georgia" w:hAnsi="Georgia"/>
          <w:b/>
          <w:bCs/>
          <w:color w:val="2C4470"/>
          <w:sz w:val="25"/>
          <w:szCs w:val="25"/>
        </w:rPr>
        <w:t xml:space="preserve">3.1 Le multiple d'EBITDA</w:t>
      </w:r>
    </w:p>
    <w:p>
      <w:pPr>
        <w:spacing w:after="160" w:line="276"/>
      </w:pPr>
      <w:r>
        <w:rPr>
          <w:rFonts w:ascii="Calibri" w:cs="Calibri" w:eastAsia="Calibri" w:hAnsi="Calibri"/>
          <w:color w:val="1A1A1A"/>
          <w:sz w:val="21"/>
          <w:szCs w:val="21"/>
        </w:rPr>
        <w:t xml:space="preserve">L'EBITDA — excédent brut d'exploitation — mesure ce que dégage l'exploitation une fois payées les charges courantes (personnel, énergie, maintenance, commissions de distribution), mais avant amortissements, frais financiers et impôts. C'est la meilleure approximation de la capacité de l'établissement à générer de la trésorerie, donc de sa valeur pour un repreneur.</w:t>
      </w:r>
    </w:p>
    <w:p>
      <w:pPr>
        <w:spacing w:after="160" w:line="276"/>
      </w:pPr>
      <w:r>
        <w:rPr>
          <w:rFonts w:ascii="Calibri" w:cs="Calibri" w:eastAsia="Calibri" w:hAnsi="Calibri"/>
          <w:color w:val="1A1A1A"/>
          <w:sz w:val="21"/>
          <w:szCs w:val="21"/>
        </w:rPr>
        <w:t xml:space="preserve">On multiplie cet EBITDA par un coefficient qui reflète le risque et le potentiel perçus par le marché : plus la catégorie est élevée et l'exploitation régulière, plus le multiple est fort. C'est la méthode de référence des professionnels.</w:t>
      </w:r>
    </w:p>
    <w:p>
      <w:pPr>
        <w:spacing w:after="60"/>
      </w:pPr>
      <w:r>
        <w:t xml:space="preserve"/>
      </w:r>
    </w:p>
    <w:p>
      <w:pPr>
        <w:spacing w:after="160" w:line="276"/>
      </w:pPr>
      <w:r>
        <w:rPr>
          <w:rFonts w:ascii="Calibri" w:cs="Calibri" w:eastAsia="Calibri" w:hAnsi="Calibri"/>
          <w:color w:val="1A1A1A"/>
          <w:sz w:val="21"/>
          <w:szCs w:val="21"/>
        </w:rPr>
        <w:t xml:space="preserve">Lorsque le propriétaire n'a renseigné que son chiffre d'affaires, l'EBITDA est estimé à 30 % de celui-ci — la fourchette observée en hôtellerie indépendante française se situant entre 25 et 35 %.</w:t>
      </w:r>
    </w:p>
    <w:p>
      <w:pPr>
        <w:pStyle w:val="Heading2"/>
        <w:spacing w:after="140" w:before="280"/>
      </w:pPr>
      <w:r>
        <w:rPr>
          <w:rFonts w:ascii="Georgia" w:cs="Georgia" w:eastAsia="Georgia" w:hAnsi="Georgia"/>
          <w:b/>
          <w:bCs/>
          <w:color w:val="2C4470"/>
          <w:sz w:val="25"/>
          <w:szCs w:val="25"/>
        </w:rPr>
        <w:t xml:space="preserve">3.2 Le prix à la chambre</w:t>
      </w:r>
    </w:p>
    <w:p>
      <w:pPr>
        <w:spacing w:after="160" w:line="276"/>
      </w:pPr>
      <w:r>
        <w:rPr>
          <w:rFonts w:ascii="Calibri" w:cs="Calibri" w:eastAsia="Calibri" w:hAnsi="Calibri"/>
          <w:color w:val="1A1A1A"/>
          <w:sz w:val="21"/>
          <w:szCs w:val="21"/>
        </w:rPr>
        <w:t xml:space="preserve">La seconde méthode rapporte la valeur au nombre de chambres. Elle sert de recoupement : un établissement dont le prix à la chambre s'écarte fortement des références locales mérite qu'on comprenne pourquoi. Elle a l'avantage de rester applicable même sans aucune donnée financière.</w:t>
      </w:r>
    </w:p>
    <w:p>
      <w:pPr>
        <w:pStyle w:val="Heading2"/>
        <w:spacing w:after="140" w:before="280"/>
      </w:pPr>
      <w:r>
        <w:rPr>
          <w:rFonts w:ascii="Georgia" w:cs="Georgia" w:eastAsia="Georgia" w:hAnsi="Georgia"/>
          <w:b/>
          <w:bCs/>
          <w:color w:val="2C4470"/>
          <w:sz w:val="25"/>
          <w:szCs w:val="25"/>
        </w:rPr>
        <w:t xml:space="preserve">3.3 Pourquoi les croiser</w:t>
      </w:r>
    </w:p>
    <w:p>
      <w:pPr>
        <w:spacing w:after="160" w:line="276"/>
      </w:pPr>
      <w:r>
        <w:rPr>
          <w:rFonts w:ascii="Calibri" w:cs="Calibri" w:eastAsia="Calibri" w:hAnsi="Calibri"/>
          <w:color w:val="1A1A1A"/>
          <w:sz w:val="21"/>
          <w:szCs w:val="21"/>
        </w:rPr>
        <w:t xml:space="preserve">Prises isolément, les deux méthodes ont chacune un angle mort. Le multiple d'EBITDA ignore la taille et la qualité de l'actif immobilier ; le prix à la chambre ignore la rentabilité réelle. Un hôtel de trente chambres mal exploité et un hôtel de trente chambres performant obtiennent le même résultat par la seconde méthode, et des résultats très différents par la première.</w:t>
      </w:r>
    </w:p>
    <w:p>
      <w:pPr>
        <w:spacing w:after="160" w:line="276"/>
      </w:pPr>
      <w:r>
        <w:rPr>
          <w:rFonts w:ascii="Calibri" w:cs="Calibri" w:eastAsia="Calibri" w:hAnsi="Calibri"/>
          <w:color w:val="1A1A1A"/>
          <w:sz w:val="21"/>
          <w:szCs w:val="21"/>
        </w:rPr>
        <w:t xml:space="preserve">Le croisement des deux amortit ces biais. C'est aussi la pratique du métier : un professionnel ne s'appuie jamais sur une seule approche.</w:t>
      </w:r>
    </w:p>
    <w:p>
      <w:r>
        <w:br w:type="page"/>
      </w:r>
    </w:p>
    <w:p>
      <w:pPr>
        <w:pStyle w:val="Heading1"/>
        <w:spacing w:after="200" w:before="360"/>
      </w:pPr>
      <w:r>
        <w:rPr>
          <w:rFonts w:ascii="Georgia" w:cs="Georgia" w:eastAsia="Georgia" w:hAnsi="Georgia"/>
          <w:b/>
          <w:bCs/>
          <w:color w:val="16233D"/>
          <w:sz w:val="32"/>
          <w:szCs w:val="32"/>
        </w:rPr>
        <w:t xml:space="preserve">4. Les paramètres du modèle</w:t>
      </w:r>
    </w:p>
    <w:p>
      <w:pPr>
        <w:spacing w:after="160" w:line="276"/>
      </w:pPr>
      <w:r>
        <w:rPr>
          <w:rFonts w:ascii="Calibri" w:cs="Calibri" w:eastAsia="Calibri" w:hAnsi="Calibri"/>
          <w:color w:val="1A1A1A"/>
          <w:sz w:val="21"/>
          <w:szCs w:val="21"/>
        </w:rPr>
        <w:t xml:space="preserve">Trois familles de paramètres alimentent le calcul. Toutes sont des hypothèses de travail construites à partir des ordres de grandeur publiés par les cabinets spécialisés, et destinées à être affinées avec des données réelles.</w:t>
      </w:r>
    </w:p>
    <w:p>
      <w:pPr>
        <w:pStyle w:val="Heading2"/>
        <w:spacing w:after="140" w:before="280"/>
      </w:pPr>
      <w:r>
        <w:rPr>
          <w:rFonts w:ascii="Georgia" w:cs="Georgia" w:eastAsia="Georgia" w:hAnsi="Georgia"/>
          <w:b/>
          <w:bCs/>
          <w:color w:val="2C4470"/>
          <w:sz w:val="25"/>
          <w:szCs w:val="25"/>
        </w:rPr>
        <w:t xml:space="preserve">4.1 Coefficients de base par classement</w:t>
      </w:r>
    </w:p>
    <w:p>
      <w:pPr>
        <w:spacing w:after="160" w:line="276"/>
      </w:pPr>
      <w:r>
        <w:rPr>
          <w:rFonts w:ascii="Calibri" w:cs="Calibri" w:eastAsia="Calibri" w:hAnsi="Calibri"/>
          <w:color w:val="1A1A1A"/>
          <w:sz w:val="21"/>
          <w:szCs w:val="21"/>
        </w:rPr>
        <w:t xml:space="preserve">Ces valeurs sont nationales : elles ne tiennent pas encore compte de la localisation, qui intervient à l'étape suivante.</w:t>
      </w:r>
    </w:p>
    <w:p>
      <w:pPr>
        <w:spacing w:after="80"/>
      </w:pPr>
      <w:r>
        <w:t xml:space="preserve"/>
      </w:r>
    </w:p>
    <w:tbl>
      <w:tblPr>
        <w:tblW w:type="dxa" w:w="9360"/>
        <w:tblBorders>
          <w:top w:val="single" w:color="D9D2C6" w:sz="2"/>
          <w:left w:val="single" w:color="D9D2C6" w:sz="2"/>
          <w:bottom w:val="single" w:color="D9D2C6" w:sz="2"/>
          <w:right w:val="single" w:color="D9D2C6" w:sz="2"/>
          <w:insideH w:val="single" w:color="E6DDD0" w:sz="1"/>
          <w:insideV w:val="single" w:color="E6DDD0" w:sz="1"/>
        </w:tblBorders>
      </w:tblPr>
      <w:tblGrid>
        <w:gridCol w:w="2600"/>
        <w:gridCol w:w="3200"/>
        <w:gridCol w:w="3560"/>
      </w:tblGrid>
      <w:tr>
        <w:trPr>
          <w:tblHeader/>
        </w:trPr>
        <w:tc>
          <w:tcPr>
            <w:tcW w:type="dxa" w:w="2600"/>
            <w:shd w:fill="16233D"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Classement</w:t>
            </w:r>
          </w:p>
        </w:tc>
        <w:tc>
          <w:tcPr>
            <w:tcW w:type="dxa" w:w="3200"/>
            <w:shd w:fill="16233D"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Multiple d'EBITDA</w:t>
            </w:r>
          </w:p>
        </w:tc>
        <w:tc>
          <w:tcPr>
            <w:tcW w:type="dxa" w:w="3560"/>
            <w:shd w:fill="16233D"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Prix à la chambre</w:t>
            </w:r>
          </w:p>
        </w:tc>
      </w:tr>
      <w:tr>
        <w:tc>
          <w:tcPr>
            <w:tcW w:type="dxa" w:w="2600"/>
            <w:shd w:fill="FFFFFF"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Non classé</w:t>
            </w:r>
          </w:p>
        </w:tc>
        <w:tc>
          <w:tcPr>
            <w:tcW w:type="dxa" w:w="320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2,5 à 4,0 ×</w:t>
            </w:r>
          </w:p>
        </w:tc>
        <w:tc>
          <w:tcPr>
            <w:tcW w:type="dxa" w:w="356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25 000 à 45 000 €</w:t>
            </w:r>
          </w:p>
        </w:tc>
      </w:tr>
      <w:tr>
        <w:tc>
          <w:tcPr>
            <w:tcW w:type="dxa" w:w="2600"/>
            <w:shd w:fill="FAF8F5"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1 étoile</w:t>
            </w:r>
          </w:p>
        </w:tc>
        <w:tc>
          <w:tcPr>
            <w:tcW w:type="dxa" w:w="320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3,0 à 4,5 ×</w:t>
            </w:r>
          </w:p>
        </w:tc>
        <w:tc>
          <w:tcPr>
            <w:tcW w:type="dxa" w:w="356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35 000 à 55 000 €</w:t>
            </w:r>
          </w:p>
        </w:tc>
      </w:tr>
      <w:tr>
        <w:tc>
          <w:tcPr>
            <w:tcW w:type="dxa" w:w="2600"/>
            <w:shd w:fill="FFFFFF"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2 étoiles</w:t>
            </w:r>
          </w:p>
        </w:tc>
        <w:tc>
          <w:tcPr>
            <w:tcW w:type="dxa" w:w="320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4,0 à 5,5 ×</w:t>
            </w:r>
          </w:p>
        </w:tc>
        <w:tc>
          <w:tcPr>
            <w:tcW w:type="dxa" w:w="356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45 000 à 70 000 €</w:t>
            </w:r>
          </w:p>
        </w:tc>
      </w:tr>
      <w:tr>
        <w:tc>
          <w:tcPr>
            <w:tcW w:type="dxa" w:w="2600"/>
            <w:shd w:fill="FAF8F5"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3 étoiles</w:t>
            </w:r>
          </w:p>
        </w:tc>
        <w:tc>
          <w:tcPr>
            <w:tcW w:type="dxa" w:w="320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5,0 à 7,0 ×</w:t>
            </w:r>
          </w:p>
        </w:tc>
        <w:tc>
          <w:tcPr>
            <w:tcW w:type="dxa" w:w="356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65 000 à 100 000 €</w:t>
            </w:r>
          </w:p>
        </w:tc>
      </w:tr>
      <w:tr>
        <w:tc>
          <w:tcPr>
            <w:tcW w:type="dxa" w:w="2600"/>
            <w:shd w:fill="FFFFFF"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4 étoiles</w:t>
            </w:r>
          </w:p>
        </w:tc>
        <w:tc>
          <w:tcPr>
            <w:tcW w:type="dxa" w:w="320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6,5 à 8,5 ×</w:t>
            </w:r>
          </w:p>
        </w:tc>
        <w:tc>
          <w:tcPr>
            <w:tcW w:type="dxa" w:w="356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90 000 à 150 000 €</w:t>
            </w:r>
          </w:p>
        </w:tc>
      </w:tr>
      <w:tr>
        <w:tc>
          <w:tcPr>
            <w:tcW w:type="dxa" w:w="2600"/>
            <w:shd w:fill="FAF8F5"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5 étoiles</w:t>
            </w:r>
          </w:p>
        </w:tc>
        <w:tc>
          <w:tcPr>
            <w:tcW w:type="dxa" w:w="320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8,0 à 10,5 ×</w:t>
            </w:r>
          </w:p>
        </w:tc>
        <w:tc>
          <w:tcPr>
            <w:tcW w:type="dxa" w:w="356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140 000 à 250 000 €</w:t>
            </w:r>
          </w:p>
        </w:tc>
      </w:tr>
    </w:tbl>
    <w:p>
      <w:pPr>
        <w:pStyle w:val="Heading2"/>
        <w:spacing w:after="140" w:before="280"/>
      </w:pPr>
      <w:r>
        <w:rPr>
          <w:rFonts w:ascii="Georgia" w:cs="Georgia" w:eastAsia="Georgia" w:hAnsi="Georgia"/>
          <w:b/>
          <w:bCs/>
          <w:color w:val="2C4470"/>
          <w:sz w:val="25"/>
          <w:szCs w:val="25"/>
        </w:rPr>
        <w:t xml:space="preserve">4.2 Coefficient géographique</w:t>
      </w:r>
    </w:p>
    <w:p>
      <w:pPr>
        <w:spacing w:after="160" w:line="276"/>
      </w:pPr>
      <w:r>
        <w:rPr>
          <w:rFonts w:ascii="Calibri" w:cs="Calibri" w:eastAsia="Calibri" w:hAnsi="Calibri"/>
          <w:color w:val="1A1A1A"/>
          <w:sz w:val="21"/>
          <w:szCs w:val="21"/>
        </w:rPr>
        <w:t xml:space="preserve">Chaque région porte un multiplicateur, appliqué au prix à la chambre. La valeur 1,00 correspond à la moyenne nationale.</w:t>
      </w:r>
    </w:p>
    <w:p>
      <w:pPr>
        <w:spacing w:after="80"/>
      </w:pPr>
      <w:r>
        <w:t xml:space="preserve"/>
      </w:r>
    </w:p>
    <w:tbl>
      <w:tblPr>
        <w:tblW w:type="dxa" w:w="9360"/>
        <w:tblBorders>
          <w:top w:val="single" w:color="D9D2C6" w:sz="2"/>
          <w:left w:val="single" w:color="D9D2C6" w:sz="2"/>
          <w:bottom w:val="single" w:color="D9D2C6" w:sz="2"/>
          <w:right w:val="single" w:color="D9D2C6" w:sz="2"/>
          <w:insideH w:val="single" w:color="E6DDD0" w:sz="1"/>
          <w:insideV w:val="single" w:color="E6DDD0" w:sz="1"/>
        </w:tblBorders>
      </w:tblPr>
      <w:tblGrid>
        <w:gridCol w:w="2800"/>
        <w:gridCol w:w="1880"/>
        <w:gridCol w:w="2800"/>
        <w:gridCol w:w="1880"/>
      </w:tblGrid>
      <w:tr>
        <w:trPr>
          <w:tblHeader/>
        </w:trPr>
        <w:tc>
          <w:tcPr>
            <w:tcW w:type="dxa" w:w="2800"/>
            <w:shd w:fill="16233D"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Région</w:t>
            </w:r>
          </w:p>
        </w:tc>
        <w:tc>
          <w:tcPr>
            <w:tcW w:type="dxa" w:w="1880"/>
            <w:shd w:fill="16233D"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Coefficient</w:t>
            </w:r>
          </w:p>
        </w:tc>
        <w:tc>
          <w:tcPr>
            <w:tcW w:type="dxa" w:w="2800"/>
            <w:shd w:fill="16233D"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Région</w:t>
            </w:r>
          </w:p>
        </w:tc>
        <w:tc>
          <w:tcPr>
            <w:tcW w:type="dxa" w:w="1880"/>
            <w:shd w:fill="16233D"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Coefficient</w:t>
            </w:r>
          </w:p>
        </w:tc>
      </w:tr>
      <w:tr>
        <w:tc>
          <w:tcPr>
            <w:tcW w:type="dxa" w:w="2800"/>
            <w:shd w:fill="FFFFFF"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Île-de-France</w:t>
            </w:r>
          </w:p>
        </w:tc>
        <w:tc>
          <w:tcPr>
            <w:tcW w:type="dxa" w:w="188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1,35</w:t>
            </w:r>
          </w:p>
        </w:tc>
        <w:tc>
          <w:tcPr>
            <w:tcW w:type="dxa" w:w="280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Pays de la Loire</w:t>
            </w:r>
          </w:p>
        </w:tc>
        <w:tc>
          <w:tcPr>
            <w:tcW w:type="dxa" w:w="188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1,00</w:t>
            </w:r>
          </w:p>
        </w:tc>
      </w:tr>
      <w:tr>
        <w:tc>
          <w:tcPr>
            <w:tcW w:type="dxa" w:w="2800"/>
            <w:shd w:fill="FAF8F5"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Provence-Alpes-Côte d'Azur</w:t>
            </w:r>
          </w:p>
        </w:tc>
        <w:tc>
          <w:tcPr>
            <w:tcW w:type="dxa" w:w="188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1,20</w:t>
            </w:r>
          </w:p>
        </w:tc>
        <w:tc>
          <w:tcPr>
            <w:tcW w:type="dxa" w:w="280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Normandie</w:t>
            </w:r>
          </w:p>
        </w:tc>
        <w:tc>
          <w:tcPr>
            <w:tcW w:type="dxa" w:w="188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1,00</w:t>
            </w:r>
          </w:p>
        </w:tc>
      </w:tr>
      <w:tr>
        <w:tc>
          <w:tcPr>
            <w:tcW w:type="dxa" w:w="2800"/>
            <w:shd w:fill="FFFFFF"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Auvergne-Rhône-Alpes</w:t>
            </w:r>
          </w:p>
        </w:tc>
        <w:tc>
          <w:tcPr>
            <w:tcW w:type="dxa" w:w="188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1,15</w:t>
            </w:r>
          </w:p>
        </w:tc>
        <w:tc>
          <w:tcPr>
            <w:tcW w:type="dxa" w:w="280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Grand Est</w:t>
            </w:r>
          </w:p>
        </w:tc>
        <w:tc>
          <w:tcPr>
            <w:tcW w:type="dxa" w:w="188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0,95</w:t>
            </w:r>
          </w:p>
        </w:tc>
      </w:tr>
      <w:tr>
        <w:tc>
          <w:tcPr>
            <w:tcW w:type="dxa" w:w="2800"/>
            <w:shd w:fill="FAF8F5"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Corse</w:t>
            </w:r>
          </w:p>
        </w:tc>
        <w:tc>
          <w:tcPr>
            <w:tcW w:type="dxa" w:w="188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1,10</w:t>
            </w:r>
          </w:p>
        </w:tc>
        <w:tc>
          <w:tcPr>
            <w:tcW w:type="dxa" w:w="280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Hauts-de-France</w:t>
            </w:r>
          </w:p>
        </w:tc>
        <w:tc>
          <w:tcPr>
            <w:tcW w:type="dxa" w:w="188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0,90</w:t>
            </w:r>
          </w:p>
        </w:tc>
      </w:tr>
      <w:tr>
        <w:tc>
          <w:tcPr>
            <w:tcW w:type="dxa" w:w="2800"/>
            <w:shd w:fill="FFFFFF"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Nouvelle-Aquitaine</w:t>
            </w:r>
          </w:p>
        </w:tc>
        <w:tc>
          <w:tcPr>
            <w:tcW w:type="dxa" w:w="188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1,05</w:t>
            </w:r>
          </w:p>
        </w:tc>
        <w:tc>
          <w:tcPr>
            <w:tcW w:type="dxa" w:w="280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Centre-Val de Loire</w:t>
            </w:r>
          </w:p>
        </w:tc>
        <w:tc>
          <w:tcPr>
            <w:tcW w:type="dxa" w:w="188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0,90</w:t>
            </w:r>
          </w:p>
        </w:tc>
      </w:tr>
      <w:tr>
        <w:tc>
          <w:tcPr>
            <w:tcW w:type="dxa" w:w="2800"/>
            <w:shd w:fill="FAF8F5"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Bretagne</w:t>
            </w:r>
          </w:p>
        </w:tc>
        <w:tc>
          <w:tcPr>
            <w:tcW w:type="dxa" w:w="188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1,05</w:t>
            </w:r>
          </w:p>
        </w:tc>
        <w:tc>
          <w:tcPr>
            <w:tcW w:type="dxa" w:w="280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Bourgogne-Franche-Comté</w:t>
            </w:r>
          </w:p>
        </w:tc>
        <w:tc>
          <w:tcPr>
            <w:tcW w:type="dxa" w:w="188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0,90</w:t>
            </w:r>
          </w:p>
        </w:tc>
      </w:tr>
      <w:tr>
        <w:tc>
          <w:tcPr>
            <w:tcW w:type="dxa" w:w="2800"/>
            <w:shd w:fill="FFFFFF"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Occitanie</w:t>
            </w:r>
          </w:p>
        </w:tc>
        <w:tc>
          <w:tcPr>
            <w:tcW w:type="dxa" w:w="188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1,05</w:t>
            </w:r>
          </w:p>
        </w:tc>
        <w:tc>
          <w:tcPr>
            <w:tcW w:type="dxa" w:w="280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w:t>
            </w:r>
          </w:p>
        </w:tc>
        <w:tc>
          <w:tcPr>
            <w:tcW w:type="dxa" w:w="188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w:t>
            </w:r>
          </w:p>
        </w:tc>
      </w:tr>
    </w:tbl>
    <w:p>
      <w:pPr>
        <w:spacing w:after="120"/>
      </w:pPr>
      <w:r>
        <w:t xml:space="preserve"/>
      </w:r>
    </w:p>
    <w:p>
      <w:pPr>
        <w:spacing w:after="160" w:line="276"/>
      </w:pPr>
      <w:r>
        <w:rPr>
          <w:rFonts w:ascii="Calibri" w:cs="Calibri" w:eastAsia="Calibri" w:hAnsi="Calibri"/>
          <w:color w:val="1A1A1A"/>
          <w:sz w:val="21"/>
          <w:szCs w:val="21"/>
        </w:rPr>
        <w:t xml:space="preserve">Une trentaine de départements dont le marché s'écarte nettement de leur moyenne régionale disposent d'un coefficient propre, qui prend le pas sur celui de la région. Quelques exemples parlants :</w:t>
      </w:r>
    </w:p>
    <w:p>
      <w:pPr>
        <w:spacing w:after="80"/>
      </w:pPr>
      <w:r>
        <w:t xml:space="preserve"/>
      </w:r>
    </w:p>
    <w:tbl>
      <w:tblPr>
        <w:tblW w:type="dxa" w:w="9360"/>
        <w:tblBorders>
          <w:top w:val="single" w:color="D9D2C6" w:sz="2"/>
          <w:left w:val="single" w:color="D9D2C6" w:sz="2"/>
          <w:bottom w:val="single" w:color="D9D2C6" w:sz="2"/>
          <w:right w:val="single" w:color="D9D2C6" w:sz="2"/>
          <w:insideH w:val="single" w:color="E6DDD0" w:sz="1"/>
          <w:insideV w:val="single" w:color="E6DDD0" w:sz="1"/>
        </w:tblBorders>
      </w:tblPr>
      <w:tblGrid>
        <w:gridCol w:w="2600"/>
        <w:gridCol w:w="1700"/>
        <w:gridCol w:w="3300"/>
        <w:gridCol w:w="1760"/>
      </w:tblGrid>
      <w:tr>
        <w:trPr>
          <w:tblHeader/>
        </w:trPr>
        <w:tc>
          <w:tcPr>
            <w:tcW w:type="dxa" w:w="2600"/>
            <w:shd w:fill="16233D"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Département</w:t>
            </w:r>
          </w:p>
        </w:tc>
        <w:tc>
          <w:tcPr>
            <w:tcW w:type="dxa" w:w="1700"/>
            <w:shd w:fill="16233D"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Coefficient</w:t>
            </w:r>
          </w:p>
        </w:tc>
        <w:tc>
          <w:tcPr>
            <w:tcW w:type="dxa" w:w="3300"/>
            <w:shd w:fill="16233D"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Région d'appartenance</w:t>
            </w:r>
          </w:p>
        </w:tc>
        <w:tc>
          <w:tcPr>
            <w:tcW w:type="dxa" w:w="1760"/>
            <w:shd w:fill="16233D"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Coeff. régional</w:t>
            </w:r>
          </w:p>
        </w:tc>
      </w:tr>
      <w:tr>
        <w:tc>
          <w:tcPr>
            <w:tcW w:type="dxa" w:w="2600"/>
            <w:shd w:fill="FFFFFF"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Paris</w:t>
            </w:r>
          </w:p>
        </w:tc>
        <w:tc>
          <w:tcPr>
            <w:tcW w:type="dxa" w:w="170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1,70</w:t>
            </w:r>
          </w:p>
        </w:tc>
        <w:tc>
          <w:tcPr>
            <w:tcW w:type="dxa" w:w="330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Île-de-France</w:t>
            </w:r>
          </w:p>
        </w:tc>
        <w:tc>
          <w:tcPr>
            <w:tcW w:type="dxa" w:w="176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1,35</w:t>
            </w:r>
          </w:p>
        </w:tc>
      </w:tr>
      <w:tr>
        <w:tc>
          <w:tcPr>
            <w:tcW w:type="dxa" w:w="2600"/>
            <w:shd w:fill="FAF8F5"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Alpes-Maritimes</w:t>
            </w:r>
          </w:p>
        </w:tc>
        <w:tc>
          <w:tcPr>
            <w:tcW w:type="dxa" w:w="170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1,40</w:t>
            </w:r>
          </w:p>
        </w:tc>
        <w:tc>
          <w:tcPr>
            <w:tcW w:type="dxa" w:w="330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Provence-Alpes-Côte d'Azur</w:t>
            </w:r>
          </w:p>
        </w:tc>
        <w:tc>
          <w:tcPr>
            <w:tcW w:type="dxa" w:w="176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1,20</w:t>
            </w:r>
          </w:p>
        </w:tc>
      </w:tr>
      <w:tr>
        <w:tc>
          <w:tcPr>
            <w:tcW w:type="dxa" w:w="2600"/>
            <w:shd w:fill="FFFFFF"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Haute-Savoie</w:t>
            </w:r>
          </w:p>
        </w:tc>
        <w:tc>
          <w:tcPr>
            <w:tcW w:type="dxa" w:w="170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1,35</w:t>
            </w:r>
          </w:p>
        </w:tc>
        <w:tc>
          <w:tcPr>
            <w:tcW w:type="dxa" w:w="330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Auvergne-Rhône-Alpes</w:t>
            </w:r>
          </w:p>
        </w:tc>
        <w:tc>
          <w:tcPr>
            <w:tcW w:type="dxa" w:w="176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1,15</w:t>
            </w:r>
          </w:p>
        </w:tc>
      </w:tr>
      <w:tr>
        <w:tc>
          <w:tcPr>
            <w:tcW w:type="dxa" w:w="2600"/>
            <w:shd w:fill="FAF8F5"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Rhône</w:t>
            </w:r>
          </w:p>
        </w:tc>
        <w:tc>
          <w:tcPr>
            <w:tcW w:type="dxa" w:w="170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1,30</w:t>
            </w:r>
          </w:p>
        </w:tc>
        <w:tc>
          <w:tcPr>
            <w:tcW w:type="dxa" w:w="330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Auvergne-Rhône-Alpes</w:t>
            </w:r>
          </w:p>
        </w:tc>
        <w:tc>
          <w:tcPr>
            <w:tcW w:type="dxa" w:w="176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1,15</w:t>
            </w:r>
          </w:p>
        </w:tc>
      </w:tr>
      <w:tr>
        <w:tc>
          <w:tcPr>
            <w:tcW w:type="dxa" w:w="2600"/>
            <w:shd w:fill="FFFFFF"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Gironde</w:t>
            </w:r>
          </w:p>
        </w:tc>
        <w:tc>
          <w:tcPr>
            <w:tcW w:type="dxa" w:w="170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1,20</w:t>
            </w:r>
          </w:p>
        </w:tc>
        <w:tc>
          <w:tcPr>
            <w:tcW w:type="dxa" w:w="330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Nouvelle-Aquitaine</w:t>
            </w:r>
          </w:p>
        </w:tc>
        <w:tc>
          <w:tcPr>
            <w:tcW w:type="dxa" w:w="176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1,05</w:t>
            </w:r>
          </w:p>
        </w:tc>
      </w:tr>
      <w:tr>
        <w:tc>
          <w:tcPr>
            <w:tcW w:type="dxa" w:w="2600"/>
            <w:shd w:fill="FAF8F5"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Ille-et-Vilaine</w:t>
            </w:r>
          </w:p>
        </w:tc>
        <w:tc>
          <w:tcPr>
            <w:tcW w:type="dxa" w:w="170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1,10</w:t>
            </w:r>
          </w:p>
        </w:tc>
        <w:tc>
          <w:tcPr>
            <w:tcW w:type="dxa" w:w="330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Bretagne</w:t>
            </w:r>
          </w:p>
        </w:tc>
        <w:tc>
          <w:tcPr>
            <w:tcW w:type="dxa" w:w="176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1,05</w:t>
            </w:r>
          </w:p>
        </w:tc>
      </w:tr>
    </w:tbl>
    <w:p>
      <w:pPr>
        <w:pStyle w:val="Heading2"/>
        <w:spacing w:after="140" w:before="280"/>
      </w:pPr>
      <w:r>
        <w:rPr>
          <w:rFonts w:ascii="Georgia" w:cs="Georgia" w:eastAsia="Georgia" w:hAnsi="Georgia"/>
          <w:b/>
          <w:bCs/>
          <w:color w:val="2C4470"/>
          <w:sz w:val="25"/>
          <w:szCs w:val="25"/>
        </w:rPr>
        <w:t xml:space="preserve">4.3 Facteur selon le type d'opération</w:t>
      </w:r>
    </w:p>
    <w:p>
      <w:pPr>
        <w:spacing w:after="160" w:line="276"/>
      </w:pPr>
      <w:r>
        <w:rPr>
          <w:rFonts w:ascii="Calibri" w:cs="Calibri" w:eastAsia="Calibri" w:hAnsi="Calibri"/>
          <w:color w:val="1A1A1A"/>
          <w:sz w:val="21"/>
          <w:szCs w:val="21"/>
        </w:rPr>
        <w:t xml:space="preserve">Les coefficients ci-dessus valorisent par défaut un ensemble murs et fonds. Les autres montages font l'objet d'une décote :</w:t>
      </w:r>
    </w:p>
    <w:p>
      <w:pPr>
        <w:spacing w:after="80"/>
      </w:pPr>
      <w:r>
        <w:t xml:space="preserve"/>
      </w:r>
    </w:p>
    <w:tbl>
      <w:tblPr>
        <w:tblW w:type="dxa" w:w="9360"/>
        <w:tblBorders>
          <w:top w:val="single" w:color="D9D2C6" w:sz="2"/>
          <w:left w:val="single" w:color="D9D2C6" w:sz="2"/>
          <w:bottom w:val="single" w:color="D9D2C6" w:sz="2"/>
          <w:right w:val="single" w:color="D9D2C6" w:sz="2"/>
          <w:insideH w:val="single" w:color="E6DDD0" w:sz="1"/>
          <w:insideV w:val="single" w:color="E6DDD0" w:sz="1"/>
        </w:tblBorders>
      </w:tblPr>
      <w:tblGrid>
        <w:gridCol w:w="3000"/>
        <w:gridCol w:w="1600"/>
        <w:gridCol w:w="4760"/>
      </w:tblGrid>
      <w:tr>
        <w:trPr>
          <w:tblHeader/>
        </w:trPr>
        <w:tc>
          <w:tcPr>
            <w:tcW w:type="dxa" w:w="3000"/>
            <w:shd w:fill="16233D"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Type d'opération</w:t>
            </w:r>
          </w:p>
        </w:tc>
        <w:tc>
          <w:tcPr>
            <w:tcW w:type="dxa" w:w="1600"/>
            <w:shd w:fill="16233D"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Facteur</w:t>
            </w:r>
          </w:p>
        </w:tc>
        <w:tc>
          <w:tcPr>
            <w:tcW w:type="dxa" w:w="4760"/>
            <w:shd w:fill="16233D"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Lecture</w:t>
            </w:r>
          </w:p>
        </w:tc>
      </w:tr>
      <w:tr>
        <w:tc>
          <w:tcPr>
            <w:tcW w:type="dxa" w:w="3000"/>
            <w:shd w:fill="FFFFFF"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Murs et fonds</w:t>
            </w:r>
          </w:p>
        </w:tc>
        <w:tc>
          <w:tcPr>
            <w:tcW w:type="dxa" w:w="160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1,00</w:t>
            </w:r>
          </w:p>
        </w:tc>
        <w:tc>
          <w:tcPr>
            <w:tcW w:type="dxa" w:w="476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Référence</w:t>
            </w:r>
          </w:p>
        </w:tc>
      </w:tr>
      <w:tr>
        <w:tc>
          <w:tcPr>
            <w:tcW w:type="dxa" w:w="3000"/>
            <w:shd w:fill="FAF8F5"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Murs seuls</w:t>
            </w:r>
          </w:p>
        </w:tc>
        <w:tc>
          <w:tcPr>
            <w:tcW w:type="dxa" w:w="160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0,75</w:t>
            </w:r>
          </w:p>
        </w:tc>
        <w:tc>
          <w:tcPr>
            <w:tcW w:type="dxa" w:w="476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L'immobilier sans l'exploitation</w:t>
            </w:r>
          </w:p>
        </w:tc>
      </w:tr>
      <w:tr>
        <w:tc>
          <w:tcPr>
            <w:tcW w:type="dxa" w:w="3000"/>
            <w:shd w:fill="FFFFFF"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Fonds de commerce seul</w:t>
            </w:r>
          </w:p>
        </w:tc>
        <w:tc>
          <w:tcPr>
            <w:tcW w:type="dxa" w:w="160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0,35</w:t>
            </w:r>
          </w:p>
        </w:tc>
        <w:tc>
          <w:tcPr>
            <w:tcW w:type="dxa" w:w="476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L'exploitation, murs loués à un tiers</w:t>
            </w:r>
          </w:p>
        </w:tc>
      </w:tr>
      <w:tr>
        <w:tc>
          <w:tcPr>
            <w:tcW w:type="dxa" w:w="3000"/>
            <w:shd w:fill="FAF8F5"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Location-gérance</w:t>
            </w:r>
          </w:p>
        </w:tc>
        <w:tc>
          <w:tcPr>
            <w:tcW w:type="dxa" w:w="160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0,25</w:t>
            </w:r>
          </w:p>
        </w:tc>
        <w:tc>
          <w:tcPr>
            <w:tcW w:type="dxa" w:w="476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Droit d'exploiter, sans propriété</w:t>
            </w:r>
          </w:p>
        </w:tc>
      </w:tr>
    </w:tbl>
    <w:p>
      <w:pPr>
        <w:spacing w:after="120"/>
      </w:pPr>
      <w:r>
        <w:t xml:space="preserve"/>
      </w:r>
    </w:p>
    <w:p>
      <w:pPr>
        <w:spacing w:after="160" w:line="276"/>
      </w:pPr>
      <w:r>
        <w:rPr>
          <w:rFonts w:ascii="Calibri" w:cs="Calibri" w:eastAsia="Calibri" w:hAnsi="Calibri"/>
          <w:i/>
          <w:iCs/>
          <w:color w:val="1A1A1A"/>
          <w:sz w:val="21"/>
          <w:szCs w:val="21"/>
        </w:rPr>
        <w:t xml:space="preserve">Ces quatre facteurs sont l'hypothèse la plus fragile du modèle et doivent être validés par un professionnel de la transaction hôtelière : la valeur d'un fonds de commerce dépend fortement de la durée résiduelle et des conditions du bail, que le formulaire ne demande pas aujourd'hui.</w:t>
      </w:r>
    </w:p>
    <w:p>
      <w:r>
        <w:br w:type="page"/>
      </w:r>
    </w:p>
    <w:p>
      <w:pPr>
        <w:pStyle w:val="Heading1"/>
        <w:spacing w:after="200" w:before="360"/>
      </w:pPr>
      <w:r>
        <w:rPr>
          <w:rFonts w:ascii="Georgia" w:cs="Georgia" w:eastAsia="Georgia" w:hAnsi="Georgia"/>
          <w:b/>
          <w:bCs/>
          <w:color w:val="16233D"/>
          <w:sz w:val="32"/>
          <w:szCs w:val="32"/>
        </w:rPr>
        <w:t xml:space="preserve">5. Le calcul, étape par étape</w:t>
      </w:r>
    </w:p>
    <w:p>
      <w:pPr>
        <w:pStyle w:val="Heading3"/>
        <w:spacing w:after="110" w:before="220"/>
      </w:pPr>
      <w:r>
        <w:rPr>
          <w:rFonts w:ascii="Calibri" w:cs="Calibri" w:eastAsia="Calibri" w:hAnsi="Calibri"/>
          <w:b/>
          <w:bCs/>
          <w:color w:val="16233D"/>
          <w:sz w:val="22"/>
          <w:szCs w:val="22"/>
        </w:rPr>
        <w:t xml:space="preserve">Étape 1 — Déterminer l'ajustement géographique</w:t>
      </w:r>
    </w:p>
    <w:p>
      <w:pPr>
        <w:spacing w:after="160" w:line="276"/>
      </w:pPr>
      <w:r>
        <w:rPr>
          <w:rFonts w:ascii="Calibri" w:cs="Calibri" w:eastAsia="Calibri" w:hAnsi="Calibri"/>
          <w:color w:val="1A1A1A"/>
          <w:sz w:val="21"/>
          <w:szCs w:val="21"/>
        </w:rPr>
        <w:t xml:space="preserve">Le prix à la chambre stocké pour la région intègre déjà le coefficient régional. Lorsque le département dispose d'un coefficient propre, un ajustement complémentaire est appliqué :</w:t>
      </w:r>
    </w:p>
    <w:tbl>
      <w:tblPr>
        <w:tblW w:type="dxa" w:w="9360"/>
        <w:tblBorders>
          <w:top w:val="single" w:color="D9D2C6" w:sz="2"/>
          <w:left w:val="single" w:color="D9D2C6" w:sz="2"/>
          <w:bottom w:val="single" w:color="D9D2C6" w:sz="2"/>
          <w:right w:val="single" w:color="D9D2C6" w:sz="2"/>
          <w:insideH w:val="none"/>
          <w:insideV w:val="none"/>
        </w:tblBorders>
      </w:tblPr>
      <w:tblGrid>
        <w:gridCol w:w="9360"/>
      </w:tblGrid>
      <w:tr>
        <w:tc>
          <w:tcPr>
            <w:tcW w:type="dxa" w:w="9360"/>
            <w:shd w:fill="F7F5F1" w:val="clear"/>
            <w:tcMar>
              <w:top w:type="dxa" w:w="140"/>
              <w:left w:type="dxa" w:w="200"/>
              <w:bottom w:type="dxa" w:w="140"/>
              <w:right w:type="dxa" w:w="200"/>
            </w:tcMar>
          </w:tcPr>
          <w:p>
            <w:pPr>
              <w:spacing w:after="0"/>
              <w:jc w:val="center"/>
            </w:pPr>
            <w:r>
              <w:rPr>
                <w:rFonts w:ascii="Consolas" w:cs="Consolas" w:eastAsia="Consolas" w:hAnsi="Consolas"/>
                <w:color w:val="16233D"/>
                <w:sz w:val="19"/>
                <w:szCs w:val="19"/>
              </w:rPr>
              <w:t xml:space="preserve">ajustement = coefficient du département ÷ coefficient de la région</w:t>
            </w:r>
          </w:p>
        </w:tc>
      </w:tr>
    </w:tbl>
    <w:p>
      <w:pPr>
        <w:spacing w:after="120"/>
      </w:pPr>
      <w:r>
        <w:t xml:space="preserve"/>
      </w:r>
    </w:p>
    <w:p>
      <w:pPr>
        <w:spacing w:after="160" w:line="276"/>
      </w:pPr>
      <w:r>
        <w:rPr>
          <w:rFonts w:ascii="Calibri" w:cs="Calibri" w:eastAsia="Calibri" w:hAnsi="Calibri"/>
          <w:color w:val="1A1A1A"/>
          <w:sz w:val="21"/>
          <w:szCs w:val="21"/>
        </w:rPr>
        <w:t xml:space="preserve">Pour un département sans coefficient propre, l'ajustement vaut 1 et n'a donc aucun effet.</w:t>
      </w:r>
    </w:p>
    <w:p>
      <w:pPr>
        <w:pStyle w:val="Heading3"/>
        <w:spacing w:after="110" w:before="220"/>
      </w:pPr>
      <w:r>
        <w:rPr>
          <w:rFonts w:ascii="Calibri" w:cs="Calibri" w:eastAsia="Calibri" w:hAnsi="Calibri"/>
          <w:b/>
          <w:bCs/>
          <w:color w:val="16233D"/>
          <w:sz w:val="22"/>
          <w:szCs w:val="22"/>
        </w:rPr>
        <w:t xml:space="preserve">Étape 2 — Déterminer l'EBITDA de référence</w:t>
      </w:r>
    </w:p>
    <w:tbl>
      <w:tblPr>
        <w:tblW w:type="dxa" w:w="9360"/>
        <w:tblBorders>
          <w:top w:val="single" w:color="D9D2C6" w:sz="2"/>
          <w:left w:val="single" w:color="D9D2C6" w:sz="2"/>
          <w:bottom w:val="single" w:color="D9D2C6" w:sz="2"/>
          <w:right w:val="single" w:color="D9D2C6" w:sz="2"/>
          <w:insideH w:val="none"/>
          <w:insideV w:val="none"/>
        </w:tblBorders>
      </w:tblPr>
      <w:tblGrid>
        <w:gridCol w:w="9360"/>
      </w:tblGrid>
      <w:tr>
        <w:tc>
          <w:tcPr>
            <w:tcW w:type="dxa" w:w="9360"/>
            <w:shd w:fill="F7F5F1" w:val="clear"/>
            <w:tcMar>
              <w:top w:type="dxa" w:w="140"/>
              <w:left w:type="dxa" w:w="200"/>
              <w:bottom w:type="dxa" w:w="140"/>
              <w:right w:type="dxa" w:w="200"/>
            </w:tcMar>
          </w:tcPr>
          <w:p>
            <w:pPr>
              <w:spacing w:after="0"/>
              <w:jc w:val="center"/>
            </w:pPr>
            <w:r>
              <w:rPr>
                <w:rFonts w:ascii="Consolas" w:cs="Consolas" w:eastAsia="Consolas" w:hAnsi="Consolas"/>
                <w:color w:val="16233D"/>
                <w:sz w:val="19"/>
                <w:szCs w:val="19"/>
              </w:rPr>
              <w:t xml:space="preserve">EBITDA renseigné  →  utilisé tel quel
sinon, si le CA est renseigné  →  EBITDA = CA × 30 %
sinon  →  la méthode du multiple est écartée</w:t>
            </w:r>
          </w:p>
        </w:tc>
      </w:tr>
    </w:tbl>
    <w:p>
      <w:pPr>
        <w:pStyle w:val="Heading3"/>
        <w:spacing w:after="110" w:before="220"/>
      </w:pPr>
      <w:r>
        <w:rPr>
          <w:rFonts w:ascii="Calibri" w:cs="Calibri" w:eastAsia="Calibri" w:hAnsi="Calibri"/>
          <w:b/>
          <w:bCs/>
          <w:color w:val="16233D"/>
          <w:sz w:val="22"/>
          <w:szCs w:val="22"/>
        </w:rPr>
        <w:t xml:space="preserve">Étape 3 — Appliquer les deux méthodes</w:t>
      </w:r>
    </w:p>
    <w:tbl>
      <w:tblPr>
        <w:tblW w:type="dxa" w:w="9360"/>
        <w:tblBorders>
          <w:top w:val="single" w:color="D9D2C6" w:sz="2"/>
          <w:left w:val="single" w:color="D9D2C6" w:sz="2"/>
          <w:bottom w:val="single" w:color="D9D2C6" w:sz="2"/>
          <w:right w:val="single" w:color="D9D2C6" w:sz="2"/>
          <w:insideH w:val="none"/>
          <w:insideV w:val="none"/>
        </w:tblBorders>
      </w:tblPr>
      <w:tblGrid>
        <w:gridCol w:w="9360"/>
      </w:tblGrid>
      <w:tr>
        <w:tc>
          <w:tcPr>
            <w:tcW w:type="dxa" w:w="9360"/>
            <w:shd w:fill="F7F5F1" w:val="clear"/>
            <w:tcMar>
              <w:top w:type="dxa" w:w="140"/>
              <w:left w:type="dxa" w:w="200"/>
              <w:bottom w:type="dxa" w:w="140"/>
              <w:right w:type="dxa" w:w="200"/>
            </w:tcMar>
          </w:tcPr>
          <w:p>
            <w:pPr>
              <w:spacing w:after="0"/>
              <w:jc w:val="center"/>
            </w:pPr>
            <w:r>
              <w:rPr>
                <w:rFonts w:ascii="Consolas" w:cs="Consolas" w:eastAsia="Consolas" w:hAnsi="Consolas"/>
                <w:color w:val="16233D"/>
                <w:sz w:val="19"/>
                <w:szCs w:val="19"/>
              </w:rPr>
              <w:t xml:space="preserve">Prix à la chambre = nombre de chambres × prix/chambre × ajustement × facteur d'opération</w:t>
            </w:r>
          </w:p>
        </w:tc>
      </w:tr>
    </w:tbl>
    <w:p>
      <w:pPr>
        <w:spacing w:after="100"/>
      </w:pPr>
      <w:r>
        <w:t xml:space="preserve"/>
      </w:r>
    </w:p>
    <w:tbl>
      <w:tblPr>
        <w:tblW w:type="dxa" w:w="9360"/>
        <w:tblBorders>
          <w:top w:val="single" w:color="D9D2C6" w:sz="2"/>
          <w:left w:val="single" w:color="D9D2C6" w:sz="2"/>
          <w:bottom w:val="single" w:color="D9D2C6" w:sz="2"/>
          <w:right w:val="single" w:color="D9D2C6" w:sz="2"/>
          <w:insideH w:val="none"/>
          <w:insideV w:val="none"/>
        </w:tblBorders>
      </w:tblPr>
      <w:tblGrid>
        <w:gridCol w:w="9360"/>
      </w:tblGrid>
      <w:tr>
        <w:tc>
          <w:tcPr>
            <w:tcW w:type="dxa" w:w="9360"/>
            <w:shd w:fill="F7F5F1" w:val="clear"/>
            <w:tcMar>
              <w:top w:type="dxa" w:w="140"/>
              <w:left w:type="dxa" w:w="200"/>
              <w:bottom w:type="dxa" w:w="140"/>
              <w:right w:type="dxa" w:w="200"/>
            </w:tcMar>
          </w:tcPr>
          <w:p>
            <w:pPr>
              <w:spacing w:after="0"/>
              <w:jc w:val="center"/>
            </w:pPr>
            <w:r>
              <w:rPr>
                <w:rFonts w:ascii="Consolas" w:cs="Consolas" w:eastAsia="Consolas" w:hAnsi="Consolas"/>
                <w:color w:val="16233D"/>
                <w:sz w:val="19"/>
                <w:szCs w:val="19"/>
              </w:rPr>
              <w:t xml:space="preserve">Multiple d'EBITDA = EBITDA × multiple × ajustement × facteur d'opération</w:t>
            </w:r>
          </w:p>
        </w:tc>
      </w:tr>
    </w:tbl>
    <w:p>
      <w:pPr>
        <w:spacing w:after="120"/>
      </w:pPr>
      <w:r>
        <w:t xml:space="preserve"/>
      </w:r>
    </w:p>
    <w:p>
      <w:pPr>
        <w:spacing w:after="160" w:line="276"/>
      </w:pPr>
      <w:r>
        <w:rPr>
          <w:rFonts w:ascii="Calibri" w:cs="Calibri" w:eastAsia="Calibri" w:hAnsi="Calibri"/>
          <w:color w:val="1A1A1A"/>
          <w:sz w:val="21"/>
          <w:szCs w:val="21"/>
        </w:rPr>
        <w:t xml:space="preserve">Chaque méthode produit deux valeurs, une basse et une haute, puisque les coefficients sont eux-mêmes des fourchettes.</w:t>
      </w:r>
    </w:p>
    <w:p>
      <w:pPr>
        <w:pStyle w:val="Heading3"/>
        <w:spacing w:after="110" w:before="220"/>
      </w:pPr>
      <w:r>
        <w:rPr>
          <w:rFonts w:ascii="Calibri" w:cs="Calibri" w:eastAsia="Calibri" w:hAnsi="Calibri"/>
          <w:b/>
          <w:bCs/>
          <w:color w:val="16233D"/>
          <w:sz w:val="22"/>
          <w:szCs w:val="22"/>
        </w:rPr>
        <w:t xml:space="preserve">Étape 4 — Croiser</w:t>
      </w:r>
    </w:p>
    <w:tbl>
      <w:tblPr>
        <w:tblW w:type="dxa" w:w="9360"/>
        <w:tblBorders>
          <w:top w:val="single" w:color="D9D2C6" w:sz="2"/>
          <w:left w:val="single" w:color="D9D2C6" w:sz="2"/>
          <w:bottom w:val="single" w:color="D9D2C6" w:sz="2"/>
          <w:right w:val="single" w:color="D9D2C6" w:sz="2"/>
          <w:insideH w:val="none"/>
          <w:insideV w:val="none"/>
        </w:tblBorders>
      </w:tblPr>
      <w:tblGrid>
        <w:gridCol w:w="9360"/>
      </w:tblGrid>
      <w:tr>
        <w:tc>
          <w:tcPr>
            <w:tcW w:type="dxa" w:w="9360"/>
            <w:shd w:fill="F7F5F1" w:val="clear"/>
            <w:tcMar>
              <w:top w:type="dxa" w:w="140"/>
              <w:left w:type="dxa" w:w="200"/>
              <w:bottom w:type="dxa" w:w="140"/>
              <w:right w:type="dxa" w:w="200"/>
            </w:tcMar>
          </w:tcPr>
          <w:p>
            <w:pPr>
              <w:spacing w:after="0"/>
              <w:jc w:val="center"/>
            </w:pPr>
            <w:r>
              <w:rPr>
                <w:rFonts w:ascii="Consolas" w:cs="Consolas" w:eastAsia="Consolas" w:hAnsi="Consolas"/>
                <w:color w:val="16233D"/>
                <w:sz w:val="19"/>
                <w:szCs w:val="19"/>
              </w:rPr>
              <w:t xml:space="preserve">valeur basse = (méthode chambre basse + méthode EBITDA basse) ÷ 2
valeur haute = (méthode chambre haute + méthode EBITDA haute) ÷ 2</w:t>
            </w:r>
          </w:p>
        </w:tc>
      </w:tr>
    </w:tbl>
    <w:p>
      <w:pPr>
        <w:spacing w:after="120"/>
      </w:pPr>
      <w:r>
        <w:t xml:space="preserve"/>
      </w:r>
    </w:p>
    <w:p>
      <w:pPr>
        <w:spacing w:after="160" w:line="276"/>
      </w:pPr>
      <w:r>
        <w:rPr>
          <w:rFonts w:ascii="Calibri" w:cs="Calibri" w:eastAsia="Calibri" w:hAnsi="Calibri"/>
          <w:color w:val="1A1A1A"/>
          <w:sz w:val="21"/>
          <w:szCs w:val="21"/>
        </w:rPr>
        <w:t xml:space="preserve">Si aucune donnée financière n'a été fournie, seule la méthode du prix à la chambre s'applique et son résultat est retenu tel quel.</w:t>
      </w:r>
    </w:p>
    <w:p>
      <w:pPr>
        <w:spacing w:after="80"/>
      </w:pPr>
      <w:r>
        <w:t xml:space="preserve"/>
      </w:r>
    </w:p>
    <w:tbl>
      <w:tblPr>
        <w:tblW w:type="dxa" w:w="9360"/>
        <w:tblBorders>
          <w:top w:val="single" w:color="E6DDD0" w:sz="2"/>
          <w:left w:val="single" w:color="8A6A2E" w:sz="18"/>
          <w:bottom w:val="single" w:color="E6DDD0" w:sz="2"/>
          <w:right w:val="single" w:color="E6DDD0" w:sz="2"/>
          <w:insideH w:val="none"/>
          <w:insideV w:val="none"/>
        </w:tblBorders>
      </w:tblPr>
      <w:tblGrid>
        <w:gridCol w:w="9360"/>
      </w:tblGrid>
      <w:tr>
        <w:tc>
          <w:tcPr>
            <w:tcW w:type="dxa" w:w="9360"/>
            <w:shd w:fill="F2EDE5" w:val="clear"/>
            <w:tcMar>
              <w:top w:type="dxa" w:w="160"/>
              <w:left w:type="dxa" w:w="200"/>
              <w:bottom w:type="dxa" w:w="160"/>
              <w:right w:type="dxa" w:w="200"/>
            </w:tcMar>
          </w:tcPr>
          <w:p>
            <w:pPr>
              <w:spacing w:after="0" w:line="276"/>
            </w:pPr>
            <w:r>
              <w:rPr>
                <w:rFonts w:ascii="Calibri" w:cs="Calibri" w:eastAsia="Calibri" w:hAnsi="Calibri"/>
                <w:color w:val="4D463D"/>
                <w:sz w:val="20"/>
                <w:szCs w:val="20"/>
              </w:rPr>
              <w:t xml:space="preserve">Tous les montants sont manipulés en centimes et sous forme de nombres entiers, jamais en nombres à virgule flottante. C'est une règle stricte du projet : les arrondis successifs sur des valeurs monétaires produisent des écarts qui deviennent visibles sur de gros montants.</w:t>
            </w:r>
          </w:p>
        </w:tc>
      </w:tr>
    </w:tbl>
    <w:p>
      <w:r>
        <w:br w:type="page"/>
      </w:r>
    </w:p>
    <w:p>
      <w:pPr>
        <w:pStyle w:val="Heading1"/>
        <w:spacing w:after="200" w:before="360"/>
      </w:pPr>
      <w:r>
        <w:rPr>
          <w:rFonts w:ascii="Georgia" w:cs="Georgia" w:eastAsia="Georgia" w:hAnsi="Georgia"/>
          <w:b/>
          <w:bCs/>
          <w:color w:val="16233D"/>
          <w:sz w:val="32"/>
          <w:szCs w:val="32"/>
        </w:rPr>
        <w:t xml:space="preserve">6. Un exemple complet</w:t>
      </w:r>
    </w:p>
    <w:p>
      <w:pPr>
        <w:spacing w:after="160" w:line="276"/>
      </w:pPr>
      <w:r>
        <w:rPr>
          <w:rFonts w:ascii="Calibri" w:cs="Calibri" w:eastAsia="Calibri" w:hAnsi="Calibri"/>
          <w:color w:val="1A1A1A"/>
          <w:sz w:val="21"/>
          <w:szCs w:val="21"/>
        </w:rPr>
        <w:t xml:space="preserve">Reprenons un cas concret, calculé par le moteur réel de la plateforme.</w:t>
      </w:r>
    </w:p>
    <w:p>
      <w:pPr>
        <w:spacing w:after="80"/>
      </w:pPr>
      <w:r>
        <w:t xml:space="preserve"/>
      </w:r>
    </w:p>
    <w:tbl>
      <w:tblPr>
        <w:tblW w:type="dxa" w:w="9360"/>
        <w:tblBorders>
          <w:top w:val="single" w:color="D9D2C6" w:sz="2"/>
          <w:left w:val="single" w:color="D9D2C6" w:sz="2"/>
          <w:bottom w:val="single" w:color="D9D2C6" w:sz="2"/>
          <w:right w:val="single" w:color="D9D2C6" w:sz="2"/>
          <w:insideH w:val="single" w:color="E6DDD0" w:sz="1"/>
          <w:insideV w:val="single" w:color="E6DDD0" w:sz="1"/>
        </w:tblBorders>
      </w:tblPr>
      <w:tblGrid>
        <w:gridCol w:w="4200"/>
        <w:gridCol w:w="5160"/>
      </w:tblGrid>
      <w:tr>
        <w:trPr>
          <w:tblHeader/>
        </w:trPr>
        <w:tc>
          <w:tcPr>
            <w:tcW w:type="dxa" w:w="4200"/>
            <w:shd w:fill="16233D"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Donnée saisie</w:t>
            </w:r>
          </w:p>
        </w:tc>
        <w:tc>
          <w:tcPr>
            <w:tcW w:type="dxa" w:w="5160"/>
            <w:shd w:fill="16233D" w:val="clear"/>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Valeur</w:t>
            </w:r>
          </w:p>
        </w:tc>
      </w:tr>
      <w:tr>
        <w:tc>
          <w:tcPr>
            <w:tcW w:type="dxa" w:w="4200"/>
            <w:shd w:fill="FFFFFF"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Localisation</w:t>
            </w:r>
          </w:p>
        </w:tc>
        <w:tc>
          <w:tcPr>
            <w:tcW w:type="dxa" w:w="516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Rennes, Ille-et-Vilaine (Bretagne)</w:t>
            </w:r>
          </w:p>
        </w:tc>
      </w:tr>
      <w:tr>
        <w:tc>
          <w:tcPr>
            <w:tcW w:type="dxa" w:w="4200"/>
            <w:shd w:fill="FAF8F5"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Type d'opération</w:t>
            </w:r>
          </w:p>
        </w:tc>
        <w:tc>
          <w:tcPr>
            <w:tcW w:type="dxa" w:w="516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Murs et fonds</w:t>
            </w:r>
          </w:p>
        </w:tc>
      </w:tr>
      <w:tr>
        <w:tc>
          <w:tcPr>
            <w:tcW w:type="dxa" w:w="4200"/>
            <w:shd w:fill="FFFFFF"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Nombre de chambres</w:t>
            </w:r>
          </w:p>
        </w:tc>
        <w:tc>
          <w:tcPr>
            <w:tcW w:type="dxa" w:w="516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32</w:t>
            </w:r>
          </w:p>
        </w:tc>
      </w:tr>
      <w:tr>
        <w:tc>
          <w:tcPr>
            <w:tcW w:type="dxa" w:w="4200"/>
            <w:shd w:fill="FAF8F5"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Classement</w:t>
            </w:r>
          </w:p>
        </w:tc>
        <w:tc>
          <w:tcPr>
            <w:tcW w:type="dxa" w:w="516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3 étoiles</w:t>
            </w:r>
          </w:p>
        </w:tc>
      </w:tr>
      <w:tr>
        <w:tc>
          <w:tcPr>
            <w:tcW w:type="dxa" w:w="4200"/>
            <w:shd w:fill="FFFFFF"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Chiffre d'affaires annuel</w:t>
            </w:r>
          </w:p>
        </w:tc>
        <w:tc>
          <w:tcPr>
            <w:tcW w:type="dxa" w:w="5160"/>
            <w:shd w:fill="FFFFFF"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850 000 €</w:t>
            </w:r>
          </w:p>
        </w:tc>
      </w:tr>
      <w:tr>
        <w:tc>
          <w:tcPr>
            <w:tcW w:type="dxa" w:w="4200"/>
            <w:shd w:fill="FAF8F5" w:val="clear"/>
            <w:tcMar>
              <w:top w:type="dxa" w:w="90"/>
              <w:left w:type="dxa" w:w="120"/>
              <w:bottom w:type="dxa" w:w="90"/>
              <w:right w:type="dxa" w:w="120"/>
            </w:tcMar>
          </w:tcPr>
          <w:p>
            <w:pPr>
              <w:spacing w:after="0"/>
            </w:pPr>
            <w:r>
              <w:rPr>
                <w:rFonts w:ascii="Calibri" w:cs="Calibri" w:eastAsia="Calibri" w:hAnsi="Calibri"/>
                <w:b/>
                <w:bCs/>
                <w:color w:val="1A1A1A"/>
                <w:sz w:val="19"/>
                <w:szCs w:val="19"/>
              </w:rPr>
              <w:t xml:space="preserve">EBITDA annuel</w:t>
            </w:r>
          </w:p>
        </w:tc>
        <w:tc>
          <w:tcPr>
            <w:tcW w:type="dxa" w:w="5160"/>
            <w:shd w:fill="FAF8F5" w:val="clear"/>
            <w:tcMar>
              <w:top w:type="dxa" w:w="90"/>
              <w:left w:type="dxa" w:w="120"/>
              <w:bottom w:type="dxa" w:w="90"/>
              <w:right w:type="dxa" w:w="120"/>
            </w:tcMar>
          </w:tcPr>
          <w:p>
            <w:pPr>
              <w:spacing w:after="0"/>
            </w:pPr>
            <w:r>
              <w:rPr>
                <w:rFonts w:ascii="Calibri" w:cs="Calibri" w:eastAsia="Calibri" w:hAnsi="Calibri"/>
                <w:b w:val="false"/>
                <w:bCs w:val="false"/>
                <w:color w:val="1A1A1A"/>
                <w:sz w:val="19"/>
                <w:szCs w:val="19"/>
              </w:rPr>
              <w:t xml:space="preserve">220 000 €</w:t>
            </w:r>
          </w:p>
        </w:tc>
      </w:tr>
    </w:tbl>
    <w:p>
      <w:pPr>
        <w:pStyle w:val="Heading2"/>
        <w:spacing w:after="140" w:before="280"/>
      </w:pPr>
      <w:r>
        <w:rPr>
          <w:rFonts w:ascii="Georgia" w:cs="Georgia" w:eastAsia="Georgia" w:hAnsi="Georgia"/>
          <w:b/>
          <w:bCs/>
          <w:color w:val="2C4470"/>
          <w:sz w:val="25"/>
          <w:szCs w:val="25"/>
        </w:rPr>
        <w:t xml:space="preserve">Déroulé du calcul</w:t>
      </w:r>
    </w:p>
    <w:p>
      <w:pPr>
        <w:pStyle w:val="Heading3"/>
        <w:spacing w:after="110" w:before="220"/>
      </w:pPr>
      <w:r>
        <w:rPr>
          <w:rFonts w:ascii="Calibri" w:cs="Calibri" w:eastAsia="Calibri" w:hAnsi="Calibri"/>
          <w:b/>
          <w:bCs/>
          <w:color w:val="16233D"/>
          <w:sz w:val="22"/>
          <w:szCs w:val="22"/>
        </w:rPr>
        <w:t xml:space="preserve">Ajustement géographique</w:t>
      </w:r>
    </w:p>
    <w:p>
      <w:pPr>
        <w:spacing w:after="160" w:line="276"/>
      </w:pPr>
      <w:r>
        <w:rPr>
          <w:rFonts w:ascii="Calibri" w:cs="Calibri" w:eastAsia="Calibri" w:hAnsi="Calibri"/>
          <w:color w:val="1A1A1A"/>
          <w:sz w:val="21"/>
          <w:szCs w:val="21"/>
        </w:rPr>
        <w:t xml:space="preserve">La Bretagne porte un coefficient de 1,05 ; l'Ille-et-Vilaine dispose d'un coefficient propre de 1,10.</w:t>
      </w:r>
    </w:p>
    <w:tbl>
      <w:tblPr>
        <w:tblW w:type="dxa" w:w="9360"/>
        <w:tblBorders>
          <w:top w:val="single" w:color="D9D2C6" w:sz="2"/>
          <w:left w:val="single" w:color="D9D2C6" w:sz="2"/>
          <w:bottom w:val="single" w:color="D9D2C6" w:sz="2"/>
          <w:right w:val="single" w:color="D9D2C6" w:sz="2"/>
          <w:insideH w:val="none"/>
          <w:insideV w:val="none"/>
        </w:tblBorders>
      </w:tblPr>
      <w:tblGrid>
        <w:gridCol w:w="9360"/>
      </w:tblGrid>
      <w:tr>
        <w:tc>
          <w:tcPr>
            <w:tcW w:type="dxa" w:w="9360"/>
            <w:shd w:fill="F7F5F1" w:val="clear"/>
            <w:tcMar>
              <w:top w:type="dxa" w:w="140"/>
              <w:left w:type="dxa" w:w="200"/>
              <w:bottom w:type="dxa" w:w="140"/>
              <w:right w:type="dxa" w:w="200"/>
            </w:tcMar>
          </w:tcPr>
          <w:p>
            <w:pPr>
              <w:spacing w:after="0"/>
              <w:jc w:val="center"/>
            </w:pPr>
            <w:r>
              <w:rPr>
                <w:rFonts w:ascii="Consolas" w:cs="Consolas" w:eastAsia="Consolas" w:hAnsi="Consolas"/>
                <w:color w:val="16233D"/>
                <w:sz w:val="19"/>
                <w:szCs w:val="19"/>
              </w:rPr>
              <w:t xml:space="preserve">1,10 ÷ 1,05 = 1,047619</w:t>
            </w:r>
          </w:p>
        </w:tc>
      </w:tr>
    </w:tbl>
    <w:p>
      <w:pPr>
        <w:spacing w:after="100"/>
      </w:pPr>
      <w:r>
        <w:t xml:space="preserve"/>
      </w:r>
    </w:p>
    <w:p>
      <w:pPr>
        <w:spacing w:after="160" w:line="276"/>
      </w:pPr>
      <w:r>
        <w:rPr>
          <w:rFonts w:ascii="Calibri" w:cs="Calibri" w:eastAsia="Calibri" w:hAnsi="Calibri"/>
          <w:color w:val="1A1A1A"/>
          <w:sz w:val="21"/>
          <w:szCs w:val="21"/>
        </w:rPr>
        <w:t xml:space="preserve">Le prix à la chambre pour un 3 étoiles en Bretagne vaut 65 000 à 100 000 € au niveau national, soit 68 250 à 105 000 € après application du coefficient régional de 1,05.</w:t>
      </w:r>
    </w:p>
    <w:p>
      <w:pPr>
        <w:pStyle w:val="Heading3"/>
        <w:spacing w:after="110" w:before="220"/>
      </w:pPr>
      <w:r>
        <w:rPr>
          <w:rFonts w:ascii="Calibri" w:cs="Calibri" w:eastAsia="Calibri" w:hAnsi="Calibri"/>
          <w:b/>
          <w:bCs/>
          <w:color w:val="16233D"/>
          <w:sz w:val="22"/>
          <w:szCs w:val="22"/>
        </w:rPr>
        <w:t xml:space="preserve">Méthode du prix à la chambre</w:t>
      </w:r>
    </w:p>
    <w:tbl>
      <w:tblPr>
        <w:tblW w:type="dxa" w:w="9360"/>
        <w:tblBorders>
          <w:top w:val="single" w:color="D9D2C6" w:sz="2"/>
          <w:left w:val="single" w:color="D9D2C6" w:sz="2"/>
          <w:bottom w:val="single" w:color="D9D2C6" w:sz="2"/>
          <w:right w:val="single" w:color="D9D2C6" w:sz="2"/>
          <w:insideH w:val="none"/>
          <w:insideV w:val="none"/>
        </w:tblBorders>
      </w:tblPr>
      <w:tblGrid>
        <w:gridCol w:w="9360"/>
      </w:tblGrid>
      <w:tr>
        <w:tc>
          <w:tcPr>
            <w:tcW w:type="dxa" w:w="9360"/>
            <w:shd w:fill="F7F5F1" w:val="clear"/>
            <w:tcMar>
              <w:top w:type="dxa" w:w="140"/>
              <w:left w:type="dxa" w:w="200"/>
              <w:bottom w:type="dxa" w:w="140"/>
              <w:right w:type="dxa" w:w="200"/>
            </w:tcMar>
          </w:tcPr>
          <w:p>
            <w:pPr>
              <w:spacing w:after="0"/>
              <w:jc w:val="center"/>
            </w:pPr>
            <w:r>
              <w:rPr>
                <w:rFonts w:ascii="Consolas" w:cs="Consolas" w:eastAsia="Consolas" w:hAnsi="Consolas"/>
                <w:color w:val="16233D"/>
                <w:sz w:val="19"/>
                <w:szCs w:val="19"/>
              </w:rPr>
              <w:t xml:space="preserve">32 × 68 250 € × 1,047619 × 1,00  =  2 288 000 €
32 × 105 000 € × 1,047619 × 1,00  =  3 520 000 €</w:t>
            </w:r>
          </w:p>
        </w:tc>
      </w:tr>
    </w:tbl>
    <w:p>
      <w:pPr>
        <w:pStyle w:val="Heading3"/>
        <w:spacing w:after="110" w:before="220"/>
      </w:pPr>
      <w:r>
        <w:rPr>
          <w:rFonts w:ascii="Calibri" w:cs="Calibri" w:eastAsia="Calibri" w:hAnsi="Calibri"/>
          <w:b/>
          <w:bCs/>
          <w:color w:val="16233D"/>
          <w:sz w:val="22"/>
          <w:szCs w:val="22"/>
        </w:rPr>
        <w:t xml:space="preserve">Méthode du multiple d'EBITDA</w:t>
      </w:r>
    </w:p>
    <w:p>
      <w:pPr>
        <w:spacing w:after="160" w:line="276"/>
      </w:pPr>
      <w:r>
        <w:rPr>
          <w:rFonts w:ascii="Calibri" w:cs="Calibri" w:eastAsia="Calibri" w:hAnsi="Calibri"/>
          <w:color w:val="1A1A1A"/>
          <w:sz w:val="21"/>
          <w:szCs w:val="21"/>
        </w:rPr>
        <w:t xml:space="preserve">L'EBITDA étant renseigné, il est utilisé tel quel. Les multiples pour un 3 étoiles vont de 5,0 à 7,0.</w:t>
      </w:r>
    </w:p>
    <w:tbl>
      <w:tblPr>
        <w:tblW w:type="dxa" w:w="9360"/>
        <w:tblBorders>
          <w:top w:val="single" w:color="D9D2C6" w:sz="2"/>
          <w:left w:val="single" w:color="D9D2C6" w:sz="2"/>
          <w:bottom w:val="single" w:color="D9D2C6" w:sz="2"/>
          <w:right w:val="single" w:color="D9D2C6" w:sz="2"/>
          <w:insideH w:val="none"/>
          <w:insideV w:val="none"/>
        </w:tblBorders>
      </w:tblPr>
      <w:tblGrid>
        <w:gridCol w:w="9360"/>
      </w:tblGrid>
      <w:tr>
        <w:tc>
          <w:tcPr>
            <w:tcW w:type="dxa" w:w="9360"/>
            <w:shd w:fill="F7F5F1" w:val="clear"/>
            <w:tcMar>
              <w:top w:type="dxa" w:w="140"/>
              <w:left w:type="dxa" w:w="200"/>
              <w:bottom w:type="dxa" w:w="140"/>
              <w:right w:type="dxa" w:w="200"/>
            </w:tcMar>
          </w:tcPr>
          <w:p>
            <w:pPr>
              <w:spacing w:after="0"/>
              <w:jc w:val="center"/>
            </w:pPr>
            <w:r>
              <w:rPr>
                <w:rFonts w:ascii="Consolas" w:cs="Consolas" w:eastAsia="Consolas" w:hAnsi="Consolas"/>
                <w:color w:val="16233D"/>
                <w:sz w:val="19"/>
                <w:szCs w:val="19"/>
              </w:rPr>
              <w:t xml:space="preserve">220 000 € × 5,0 × 1,047619 × 1,00  =  1 152 381 €
220 000 € × 7,0 × 1,047619 × 1,00  =  1 613 333 €</w:t>
            </w:r>
          </w:p>
        </w:tc>
      </w:tr>
    </w:tbl>
    <w:p>
      <w:pPr>
        <w:pStyle w:val="Heading3"/>
        <w:spacing w:after="110" w:before="220"/>
      </w:pPr>
      <w:r>
        <w:rPr>
          <w:rFonts w:ascii="Calibri" w:cs="Calibri" w:eastAsia="Calibri" w:hAnsi="Calibri"/>
          <w:b/>
          <w:bCs/>
          <w:color w:val="16233D"/>
          <w:sz w:val="22"/>
          <w:szCs w:val="22"/>
        </w:rPr>
        <w:t xml:space="preserve">Croisement</w:t>
      </w:r>
    </w:p>
    <w:tbl>
      <w:tblPr>
        <w:tblW w:type="dxa" w:w="9360"/>
        <w:tblBorders>
          <w:top w:val="single" w:color="D9D2C6" w:sz="2"/>
          <w:left w:val="single" w:color="D9D2C6" w:sz="2"/>
          <w:bottom w:val="single" w:color="D9D2C6" w:sz="2"/>
          <w:right w:val="single" w:color="D9D2C6" w:sz="2"/>
          <w:insideH w:val="none"/>
          <w:insideV w:val="none"/>
        </w:tblBorders>
      </w:tblPr>
      <w:tblGrid>
        <w:gridCol w:w="9360"/>
      </w:tblGrid>
      <w:tr>
        <w:tc>
          <w:tcPr>
            <w:tcW w:type="dxa" w:w="9360"/>
            <w:shd w:fill="F7F5F1" w:val="clear"/>
            <w:tcMar>
              <w:top w:type="dxa" w:w="140"/>
              <w:left w:type="dxa" w:w="200"/>
              <w:bottom w:type="dxa" w:w="140"/>
              <w:right w:type="dxa" w:w="200"/>
            </w:tcMar>
          </w:tcPr>
          <w:p>
            <w:pPr>
              <w:spacing w:after="0"/>
              <w:jc w:val="center"/>
            </w:pPr>
            <w:r>
              <w:rPr>
                <w:rFonts w:ascii="Consolas" w:cs="Consolas" w:eastAsia="Consolas" w:hAnsi="Consolas"/>
                <w:color w:val="16233D"/>
                <w:sz w:val="19"/>
                <w:szCs w:val="19"/>
              </w:rPr>
              <w:t xml:space="preserve">(2 288 000 + 1 152 381) ÷ 2  =  1 720 191 €
(3 520 000 + 1 613 333) ÷ 2  =  2 566 667 €</w:t>
            </w:r>
          </w:p>
        </w:tc>
      </w:tr>
    </w:tbl>
    <w:p>
      <w:pPr>
        <w:spacing w:after="140"/>
      </w:pPr>
      <w:r>
        <w:t xml:space="preserve"/>
      </w:r>
    </w:p>
    <w:tbl>
      <w:tblPr>
        <w:tblW w:type="dxa" w:w="9360"/>
        <w:tblBorders>
          <w:top w:val="single" w:color="E6DDD0" w:sz="2"/>
          <w:left w:val="single" w:color="8A6A2E" w:sz="18"/>
          <w:bottom w:val="single" w:color="E6DDD0" w:sz="2"/>
          <w:right w:val="single" w:color="E6DDD0" w:sz="2"/>
          <w:insideH w:val="none"/>
          <w:insideV w:val="none"/>
        </w:tblBorders>
      </w:tblPr>
      <w:tblGrid>
        <w:gridCol w:w="9360"/>
      </w:tblGrid>
      <w:tr>
        <w:tc>
          <w:tcPr>
            <w:tcW w:type="dxa" w:w="9360"/>
            <w:shd w:fill="F2EDE5" w:val="clear"/>
            <w:tcMar>
              <w:top w:type="dxa" w:w="160"/>
              <w:left w:type="dxa" w:w="200"/>
              <w:bottom w:type="dxa" w:w="160"/>
              <w:right w:type="dxa" w:w="200"/>
            </w:tcMar>
          </w:tcPr>
          <w:p>
            <w:pPr>
              <w:spacing w:after="0" w:line="276"/>
            </w:pPr>
            <w:r>
              <w:rPr>
                <w:rFonts w:ascii="Calibri" w:cs="Calibri" w:eastAsia="Calibri" w:hAnsi="Calibri"/>
                <w:b/>
                <w:bCs/>
                <w:color w:val="4D463D"/>
                <w:sz w:val="24"/>
                <w:szCs w:val="24"/>
              </w:rPr>
              <w:t xml:space="preserve">Fourchette présentée au propriétaire : 1 720 191 € – 2 566 667 €</w:t>
            </w:r>
          </w:p>
        </w:tc>
      </w:tr>
    </w:tbl>
    <w:p>
      <w:pPr>
        <w:pStyle w:val="Heading2"/>
        <w:spacing w:after="140" w:before="280"/>
      </w:pPr>
      <w:r>
        <w:rPr>
          <w:rFonts w:ascii="Georgia" w:cs="Georgia" w:eastAsia="Georgia" w:hAnsi="Georgia"/>
          <w:b/>
          <w:bCs/>
          <w:color w:val="2C4470"/>
          <w:sz w:val="25"/>
          <w:szCs w:val="25"/>
        </w:rPr>
        <w:t xml:space="preserve">Deux variantes instructives</w:t>
      </w:r>
    </w:p>
    <w:p>
      <w:pPr>
        <w:spacing w:after="160" w:line="276"/>
      </w:pPr>
      <w:r>
        <w:rPr>
          <w:rFonts w:ascii="Calibri" w:cs="Calibri" w:eastAsia="Calibri" w:hAnsi="Calibri"/>
          <w:color w:val="1A1A1A"/>
          <w:sz w:val="21"/>
          <w:szCs w:val="21"/>
        </w:rPr>
        <w:t xml:space="preserve">Le même établissement, sans aucune donnée financière renseignée, donnerait 2 288 000 € à 3 520 000 € — soit uniquement le résultat du prix à la chambre. L'écart avec la fourchette précédente illustre concrètement l'apport des chiffres : ici, l'exploitation est nettement moins rentable que ce que la taille de l'établissement laisserait supposer, et le croisement corrige cette impression.</w:t>
      </w:r>
    </w:p>
    <w:p>
      <w:pPr>
        <w:spacing w:after="160" w:line="276"/>
      </w:pPr>
      <w:r>
        <w:rPr>
          <w:rFonts w:ascii="Calibri" w:cs="Calibri" w:eastAsia="Calibri" w:hAnsi="Calibri"/>
          <w:color w:val="1A1A1A"/>
          <w:sz w:val="21"/>
          <w:szCs w:val="21"/>
        </w:rPr>
        <w:t xml:space="preserve">Le même établissement en fonds de commerce seul donnerait 602 067 € à 898 334 €, par application du facteur 0,35.</w:t>
      </w:r>
    </w:p>
    <w:p>
      <w:r>
        <w:br w:type="page"/>
      </w:r>
    </w:p>
    <w:p>
      <w:pPr>
        <w:pStyle w:val="Heading1"/>
        <w:spacing w:after="200" w:before="360"/>
      </w:pPr>
      <w:r>
        <w:rPr>
          <w:rFonts w:ascii="Georgia" w:cs="Georgia" w:eastAsia="Georgia" w:hAnsi="Georgia"/>
          <w:b/>
          <w:bCs/>
          <w:color w:val="16233D"/>
          <w:sz w:val="32"/>
          <w:szCs w:val="32"/>
        </w:rPr>
        <w:t xml:space="preserve">7. Où vivent les paramètres, et comment les faire évoluer</w:t>
      </w:r>
    </w:p>
    <w:p>
      <w:pPr>
        <w:spacing w:after="160" w:line="276"/>
      </w:pPr>
      <w:r>
        <w:rPr>
          <w:rFonts w:ascii="Calibri" w:cs="Calibri" w:eastAsia="Calibri" w:hAnsi="Calibri"/>
          <w:color w:val="1A1A1A"/>
          <w:sz w:val="21"/>
          <w:szCs w:val="21"/>
        </w:rPr>
        <w:t xml:space="preserve">Les coefficients sont stockés dans la base de données de la plateforme, à raison d'une ligne par combinaison de région et de classement — soit 78 lignes pour les 13 régions et 6 catégories. Ils y sont installés au démarrage à partir des valeurs de référence, puis destinés à être modifiables par l'administrateur sans intervention d'un développeur ni nouvelle mise en ligne.</w:t>
      </w:r>
    </w:p>
    <w:p>
      <w:pPr>
        <w:spacing w:after="160" w:line="276"/>
      </w:pPr>
      <w:r>
        <w:rPr>
          <w:rFonts w:ascii="Calibri" w:cs="Calibri" w:eastAsia="Calibri" w:hAnsi="Calibri"/>
          <w:color w:val="1A1A1A"/>
          <w:sz w:val="21"/>
          <w:szCs w:val="21"/>
        </w:rPr>
        <w:t xml:space="preserve">Ce choix est délibéré : le modèle n'a de valeur durable que s'il s'affine avec les données réelles. Chaque estimation réalisée, et à terme chaque transaction observée, constitue une information qui doit pouvoir corriger les coefficients. C'est ce patrimoine de données qui rendra le service difficile à copier.</w:t>
      </w:r>
    </w:p>
    <w:p>
      <w:pPr>
        <w:spacing w:after="80"/>
      </w:pPr>
      <w:r>
        <w:t xml:space="preserve"/>
      </w:r>
    </w:p>
    <w:p>
      <w:pPr>
        <w:spacing w:after="160" w:line="276"/>
      </w:pPr>
      <w:r>
        <w:rPr>
          <w:rFonts w:ascii="Calibri" w:cs="Calibri" w:eastAsia="Calibri" w:hAnsi="Calibri"/>
          <w:color w:val="4D463D"/>
          <w:sz w:val="20"/>
          <w:szCs w:val="20"/>
        </w:rPr>
        <w:t xml:space="preserve">Les pages publiques de référencement, qui affichent les fourchettes par territoire, sont calculées à partir des mêmes valeurs de référence. Elles sont pré-générées et donc figées jusqu'à la mise en ligne suivante — une lecture en base ne leur apporterait aucune fraîcheur supplémentaire.</w:t>
      </w:r>
    </w:p>
    <w:p>
      <w:pPr>
        <w:pStyle w:val="Heading1"/>
        <w:spacing w:after="200" w:before="360"/>
      </w:pPr>
      <w:r>
        <w:rPr>
          <w:rFonts w:ascii="Georgia" w:cs="Georgia" w:eastAsia="Georgia" w:hAnsi="Georgia"/>
          <w:b/>
          <w:bCs/>
          <w:color w:val="16233D"/>
          <w:sz w:val="32"/>
          <w:szCs w:val="32"/>
        </w:rPr>
        <w:t xml:space="preserve">8. Limites connues et améliorations identifiées</w:t>
      </w:r>
    </w:p>
    <w:p>
      <w:pPr>
        <w:spacing w:after="160" w:line="276"/>
      </w:pPr>
      <w:r>
        <w:rPr>
          <w:rFonts w:ascii="Calibri" w:cs="Calibri" w:eastAsia="Calibri" w:hAnsi="Calibri"/>
          <w:color w:val="1A1A1A"/>
          <w:sz w:val="21"/>
          <w:szCs w:val="21"/>
        </w:rPr>
        <w:t xml:space="preserve">Ces points sont documentés sans détour : ils constituent la feuille de route d'amélioration du modèle.</w:t>
      </w:r>
    </w:p>
    <w:p>
      <w:pPr>
        <w:pStyle w:val="Heading3"/>
        <w:spacing w:after="110" w:before="220"/>
      </w:pPr>
      <w:r>
        <w:rPr>
          <w:rFonts w:ascii="Calibri" w:cs="Calibri" w:eastAsia="Calibri" w:hAnsi="Calibri"/>
          <w:b/>
          <w:bCs/>
          <w:color w:val="16233D"/>
          <w:sz w:val="22"/>
          <w:szCs w:val="22"/>
        </w:rPr>
        <w:t xml:space="preserve">Le coefficient géographique ne s'applique pas aux deux méthodes de la même façon</w:t>
      </w:r>
    </w:p>
    <w:p>
      <w:pPr>
        <w:spacing w:after="160" w:line="276"/>
      </w:pPr>
      <w:r>
        <w:rPr>
          <w:rFonts w:ascii="Calibri" w:cs="Calibri" w:eastAsia="Calibri" w:hAnsi="Calibri"/>
          <w:color w:val="1A1A1A"/>
          <w:sz w:val="21"/>
          <w:szCs w:val="21"/>
        </w:rPr>
        <w:t xml:space="preserve">Le coefficient régional est intégré au prix à la chambre, mais pas au multiple d'EBITDA — qui ne reçoit que l'ajustement départemental, lorsqu'il existe. Concrètement, un 3 étoiles en Bretagne et un 3 étoiles en Hauts-de-France se voient appliquer le même multiple d'EBITDA, alors que leur prix à la chambre diffère de 15 %.</w:t>
      </w:r>
    </w:p>
    <w:p>
      <w:pPr>
        <w:spacing w:after="160" w:line="276"/>
      </w:pPr>
      <w:r>
        <w:rPr>
          <w:rFonts w:ascii="Calibri" w:cs="Calibri" w:eastAsia="Calibri" w:hAnsi="Calibri"/>
          <w:color w:val="1A1A1A"/>
          <w:sz w:val="21"/>
          <w:szCs w:val="21"/>
        </w:rPr>
        <w:t xml:space="preserve">Ce n'est pas nécessairement faux — les multiples varient moins géographiquement que les prix à la chambre — mais l'asymétrie n'est pas le résultat d'une décision explicite. Elle mérite d'être tranchée avec un professionnel du secteur.</w:t>
      </w:r>
    </w:p>
    <w:p>
      <w:pPr>
        <w:pStyle w:val="Heading3"/>
        <w:spacing w:after="110" w:before="220"/>
      </w:pPr>
      <w:r>
        <w:rPr>
          <w:rFonts w:ascii="Calibri" w:cs="Calibri" w:eastAsia="Calibri" w:hAnsi="Calibri"/>
          <w:b/>
          <w:bCs/>
          <w:color w:val="16233D"/>
          <w:sz w:val="22"/>
          <w:szCs w:val="22"/>
        </w:rPr>
        <w:t xml:space="preserve">La validation professionnelle des coefficients reste à faire</w:t>
      </w:r>
    </w:p>
    <w:p>
      <w:pPr>
        <w:spacing w:after="160" w:line="276"/>
      </w:pPr>
      <w:r>
        <w:rPr>
          <w:rFonts w:ascii="Calibri" w:cs="Calibri" w:eastAsia="Calibri" w:hAnsi="Calibri"/>
          <w:color w:val="1A1A1A"/>
          <w:sz w:val="21"/>
          <w:szCs w:val="21"/>
        </w:rPr>
        <w:t xml:space="preserve">L'ensemble des valeurs provient d'ordres de grandeur publiés, non d'un historique de transactions réelles. Faire relire la grille par un professionnel de la transaction hôtelière est la première amélioration à mener, et elle ne coûte qu'un rendez-vous.</w:t>
      </w:r>
    </w:p>
    <w:p>
      <w:pPr>
        <w:pStyle w:val="Heading3"/>
        <w:spacing w:after="110" w:before="220"/>
      </w:pPr>
      <w:r>
        <w:rPr>
          <w:rFonts w:ascii="Calibri" w:cs="Calibri" w:eastAsia="Calibri" w:hAnsi="Calibri"/>
          <w:b/>
          <w:bCs/>
          <w:color w:val="16233D"/>
          <w:sz w:val="22"/>
          <w:szCs w:val="22"/>
        </w:rPr>
        <w:t xml:space="preserve">Des critères connus ne sont pas encore exploités</w:t>
      </w:r>
    </w:p>
    <w:p>
      <w:pPr>
        <w:pStyle w:val="ListParagraph"/>
        <w:numPr>
          <w:ilvl w:val="0"/>
          <w:numId w:val="2"/>
        </w:numPr>
        <w:spacing w:after="90" w:line="276"/>
      </w:pPr>
      <w:r>
        <w:rPr>
          <w:rFonts w:ascii="Calibri" w:cs="Calibri" w:eastAsia="Calibri" w:hAnsi="Calibri"/>
          <w:color w:val="1A1A1A"/>
          <w:sz w:val="21"/>
          <w:szCs w:val="21"/>
        </w:rPr>
        <w:t xml:space="preserve">La licence IV est recueillie mais n'influence pas le résultat.</w:t>
      </w:r>
    </w:p>
    <w:p>
      <w:pPr>
        <w:pStyle w:val="ListParagraph"/>
        <w:numPr>
          <w:ilvl w:val="0"/>
          <w:numId w:val="2"/>
        </w:numPr>
        <w:spacing w:after="90" w:line="276"/>
      </w:pPr>
      <w:r>
        <w:rPr>
          <w:rFonts w:ascii="Calibri" w:cs="Calibri" w:eastAsia="Calibri" w:hAnsi="Calibri"/>
          <w:color w:val="1A1A1A"/>
          <w:sz w:val="21"/>
          <w:szCs w:val="21"/>
        </w:rPr>
        <w:t xml:space="preserve">La présence d'un restaurant, d'un parking, ou l'ampleur des travaux à prévoir ne sont pas demandés.</w:t>
      </w:r>
    </w:p>
    <w:p>
      <w:pPr>
        <w:pStyle w:val="ListParagraph"/>
        <w:numPr>
          <w:ilvl w:val="0"/>
          <w:numId w:val="2"/>
        </w:numPr>
        <w:spacing w:after="90" w:line="276"/>
      </w:pPr>
      <w:r>
        <w:rPr>
          <w:rFonts w:ascii="Calibri" w:cs="Calibri" w:eastAsia="Calibri" w:hAnsi="Calibri"/>
          <w:color w:val="1A1A1A"/>
          <w:sz w:val="21"/>
          <w:szCs w:val="21"/>
        </w:rPr>
        <w:t xml:space="preserve">Pour un fonds de commerce, la durée résiduelle et les conditions du bail — déterminantes — ne sont pas demandées.</w:t>
      </w:r>
    </w:p>
    <w:p>
      <w:pPr>
        <w:pStyle w:val="ListParagraph"/>
        <w:numPr>
          <w:ilvl w:val="0"/>
          <w:numId w:val="2"/>
        </w:numPr>
        <w:spacing w:after="90" w:line="276"/>
      </w:pPr>
      <w:r>
        <w:rPr>
          <w:rFonts w:ascii="Calibri" w:cs="Calibri" w:eastAsia="Calibri" w:hAnsi="Calibri"/>
          <w:color w:val="1A1A1A"/>
          <w:sz w:val="21"/>
          <w:szCs w:val="21"/>
        </w:rPr>
        <w:t xml:space="preserve">Le taux d'occupation et le RevPAR, pourtant centraux dans le métier, ne sont pas encore utilisés.</w:t>
      </w:r>
    </w:p>
    <w:p>
      <w:pPr>
        <w:pStyle w:val="Heading3"/>
        <w:spacing w:after="110" w:before="220"/>
      </w:pPr>
      <w:r>
        <w:rPr>
          <w:rFonts w:ascii="Calibri" w:cs="Calibri" w:eastAsia="Calibri" w:hAnsi="Calibri"/>
          <w:b/>
          <w:bCs/>
          <w:color w:val="16233D"/>
          <w:sz w:val="22"/>
          <w:szCs w:val="22"/>
        </w:rPr>
        <w:t xml:space="preserve">Le classement est traité comme un indicateur de qualité</w:t>
      </w:r>
    </w:p>
    <w:p>
      <w:pPr>
        <w:spacing w:after="160" w:line="276"/>
      </w:pPr>
      <w:r>
        <w:rPr>
          <w:rFonts w:ascii="Calibri" w:cs="Calibri" w:eastAsia="Calibri" w:hAnsi="Calibri"/>
          <w:color w:val="1A1A1A"/>
          <w:sz w:val="21"/>
          <w:szCs w:val="21"/>
        </w:rPr>
        <w:t xml:space="preserve">Un établissement non classé mais rénové et bien exploité sera sous-évalué par le modèle, faute d'un critère d'état. À l'inverse, un 3 étoiles vétuste sera surévalué.</w:t>
      </w:r>
    </w:p>
    <w:p>
      <w:pPr>
        <w:spacing w:after="140"/>
      </w:pPr>
      <w:r>
        <w:t xml:space="preserve"/>
      </w:r>
    </w:p>
    <w:tbl>
      <w:tblPr>
        <w:tblW w:type="dxa" w:w="9360"/>
        <w:tblBorders>
          <w:top w:val="single" w:color="E6DDD0" w:sz="2"/>
          <w:left w:val="single" w:color="8A6A2E" w:sz="18"/>
          <w:bottom w:val="single" w:color="E6DDD0" w:sz="2"/>
          <w:right w:val="single" w:color="E6DDD0" w:sz="2"/>
          <w:insideH w:val="none"/>
          <w:insideV w:val="none"/>
        </w:tblBorders>
      </w:tblPr>
      <w:tblGrid>
        <w:gridCol w:w="9360"/>
      </w:tblGrid>
      <w:tr>
        <w:tc>
          <w:tcPr>
            <w:tcW w:type="dxa" w:w="9360"/>
            <w:shd w:fill="F2EDE5" w:val="clear"/>
            <w:tcMar>
              <w:top w:type="dxa" w:w="160"/>
              <w:left w:type="dxa" w:w="200"/>
              <w:bottom w:type="dxa" w:w="160"/>
              <w:right w:type="dxa" w:w="200"/>
            </w:tcMar>
          </w:tcPr>
          <w:p>
            <w:pPr>
              <w:spacing w:after="0" w:line="276"/>
            </w:pPr>
            <w:r>
              <w:rPr>
                <w:rFonts w:ascii="Calibri" w:cs="Calibri" w:eastAsia="Calibri" w:hAnsi="Calibri"/>
                <w:b/>
                <w:bCs/>
                <w:color w:val="4D463D"/>
                <w:sz w:val="20"/>
                <w:szCs w:val="20"/>
              </w:rPr>
              <w:t xml:space="preserve">Une décision de conception à garder à l'esprit : </w:t>
            </w:r>
            <w:r>
              <w:rPr>
                <w:rFonts w:ascii="Calibri" w:cs="Calibri" w:eastAsia="Calibri" w:hAnsi="Calibri"/>
                <w:color w:val="4D463D"/>
                <w:sz w:val="20"/>
                <w:szCs w:val="20"/>
              </w:rPr>
              <w:t xml:space="preserve">la fourchette est volontairement large. C'est un choix, pas une faiblesse. Une estimation trop précise donnerait une fausse impression de certitude, et une valorisation contestée ruinerait la crédibilité du service — voire créerait un contentieux. Mieux vaut un intervalle honnête qu'un chiffre flatteur.</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072"/>
        <w:sz w:val="16"/>
        <w:szCs w:val="16"/>
      </w:rPr>
      <w:t xml:space="preserve">HotelMarket — L'algorithme de valorisation — page </w:t>
    </w:r>
    <w:r>
      <w:rPr>
        <w:rFonts w:ascii="Calibri" w:cs="Calibri" w:eastAsia="Calibri" w:hAnsi="Calibri"/>
        <w:color w:val="8A80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2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L'algorithme de valorisation</dc:title>
  <dc:creator>HotelMarket</dc:creator>
  <dc:description>Description détaillée de l'algorithme de calcul de la fourchette de valorisation hôtelière</dc:description>
  <cp:lastModifiedBy>Un-named</cp:lastModifiedBy>
  <cp:revision>1</cp:revision>
  <dcterms:created xsi:type="dcterms:W3CDTF">2026-07-28T12:35:07.988Z</dcterms:created>
  <dcterms:modified xsi:type="dcterms:W3CDTF">2026-07-28T12:35:07.989Z</dcterms:modified>
</cp:coreProperties>
</file>

<file path=docProps/custom.xml><?xml version="1.0" encoding="utf-8"?>
<Properties xmlns="http://schemas.openxmlformats.org/officeDocument/2006/custom-properties" xmlns:vt="http://schemas.openxmlformats.org/officeDocument/2006/docPropsVTypes"/>
</file>