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jc w:val="center"/>
      </w:pPr>
      <w:r>
        <w:rPr>
          <w:rFonts w:ascii="Calibri" w:cs="Calibri" w:eastAsia="Calibri" w:hAnsi="Calibri"/>
          <w:b/>
          <w:bCs/>
          <w:color w:val="8A6A2E"/>
          <w:spacing w:val="60"/>
          <w:sz w:val="18"/>
          <w:szCs w:val="18"/>
        </w:rPr>
        <w:t xml:space="preserve">HOTELMARKET</w:t>
      </w:r>
    </w:p>
    <w:p>
      <w:pPr>
        <w:spacing w:after="40"/>
        <w:jc w:val="center"/>
      </w:pPr>
      <w:r>
        <w:rPr>
          <w:rFonts w:ascii="Calibri" w:cs="Calibri" w:eastAsia="Calibri" w:hAnsi="Calibri"/>
          <w:i/>
          <w:iCs/>
          <w:color w:val="8A8072"/>
          <w:sz w:val="16"/>
          <w:szCs w:val="16"/>
        </w:rPr>
        <w:t xml:space="preserve">(nom de code du projet)</w:t>
      </w:r>
    </w:p>
    <w:p>
      <w:pPr>
        <w:spacing w:after="500"/>
      </w:pPr>
      <w:r>
        <w:t xml:space="preserve"/>
      </w:r>
    </w:p>
    <w:p>
      <w:pPr>
        <w:spacing w:after="160"/>
        <w:jc w:val="center"/>
      </w:pPr>
      <w:r>
        <w:rPr>
          <w:rFonts w:ascii="Georgia" w:cs="Georgia" w:eastAsia="Georgia" w:hAnsi="Georgia"/>
          <w:b/>
          <w:bCs/>
          <w:color w:val="16233D"/>
          <w:sz w:val="46"/>
          <w:szCs w:val="46"/>
        </w:rPr>
        <w:t xml:space="preserve">Présentation du projet</w:t>
      </w:r>
    </w:p>
    <w:p>
      <w:pPr>
        <w:spacing w:after="600"/>
        <w:jc w:val="center"/>
      </w:pPr>
      <w:r>
        <w:rPr>
          <w:rFonts w:ascii="Calibri" w:cs="Calibri" w:eastAsia="Calibri" w:hAnsi="Calibri"/>
          <w:color w:val="2C4470"/>
          <w:sz w:val="24"/>
          <w:szCs w:val="24"/>
        </w:rPr>
        <w:t xml:space="preserve">Une plateforme de valorisation et de transmission hôtelière</w:t>
      </w:r>
    </w:p>
    <w:p>
      <w:pPr>
        <w:pBdr>
          <w:top w:val="single" w:color="8A6A2E" w:sz="6" w:space="12"/>
        </w:pBdr>
        <w:spacing w:after="200" w:before="200"/>
        <w:jc w:val="center"/>
      </w:pPr>
      <w:r>
        <w:t xml:space="preserve"/>
      </w:r>
    </w:p>
    <w:p>
      <w:pPr>
        <w:spacing w:after="80"/>
        <w:jc w:val="center"/>
      </w:pPr>
      <w:r>
        <w:rPr>
          <w:rFonts w:ascii="Calibri" w:cs="Calibri" w:eastAsia="Calibri" w:hAnsi="Calibri"/>
          <w:color w:val="4D463D"/>
          <w:sz w:val="19"/>
          <w:szCs w:val="19"/>
        </w:rPr>
        <w:t xml:space="preserve">Document de présentation — 28 juillet 2026</w:t>
      </w:r>
    </w:p>
    <w:p>
      <w:pPr>
        <w:spacing w:after="80"/>
        <w:jc w:val="center"/>
      </w:pPr>
      <w:r>
        <w:rPr>
          <w:rFonts w:ascii="Calibri" w:cs="Calibri" w:eastAsia="Calibri" w:hAnsi="Calibri"/>
          <w:color w:val="4D463D"/>
          <w:sz w:val="19"/>
          <w:szCs w:val="19"/>
        </w:rPr>
        <w:t xml:space="preserve">Phase 0 : produit de validation de marché</w:t>
      </w:r>
    </w:p>
    <w:p>
      <w:r>
        <w:br w:type="page"/>
      </w:r>
    </w:p>
    <w:p>
      <w:pPr>
        <w:pStyle w:val="Heading1"/>
        <w:spacing w:after="200" w:before="360"/>
      </w:pPr>
      <w:r>
        <w:rPr>
          <w:rFonts w:ascii="Georgia" w:cs="Georgia" w:eastAsia="Georgia" w:hAnsi="Georgia"/>
          <w:b/>
          <w:bCs/>
          <w:color w:val="16233D"/>
          <w:sz w:val="32"/>
          <w:szCs w:val="32"/>
        </w:rPr>
        <w:t xml:space="preserve">1. En bref</w:t>
      </w:r>
    </w:p>
    <w:p>
      <w:pPr>
        <w:spacing w:after="160" w:line="276"/>
      </w:pPr>
      <w:r>
        <w:rPr>
          <w:rFonts w:ascii="Calibri" w:cs="Calibri" w:eastAsia="Calibri" w:hAnsi="Calibri"/>
          <w:color w:val="1A1A1A"/>
          <w:sz w:val="21"/>
          <w:szCs w:val="21"/>
        </w:rPr>
        <w:t xml:space="preserve">Le projet consiste à créer la référence française de la valorisation et de la transmission hôtelière : un service qui répond d'abord à une question simple que se pose tout propriétaire d'hôtel — « combien vaut mon établissement ? » — puis, dans un second temps, une place de marché mettant en relation vendeurs et repreneurs.</w:t>
      </w:r>
    </w:p>
    <w:p>
      <w:pPr>
        <w:spacing w:after="160" w:line="276"/>
      </w:pPr>
      <w:r>
        <w:rPr>
          <w:rFonts w:ascii="Calibri" w:cs="Calibri" w:eastAsia="Calibri" w:hAnsi="Calibri"/>
          <w:color w:val="1A1A1A"/>
          <w:sz w:val="21"/>
          <w:szCs w:val="21"/>
        </w:rPr>
        <w:t xml:space="preserve">L'ordre est important, et c'est le choix structurant du projet. Plutôt que de construire d'emblée un portail d'annonces — coûteux, et sans valeur tant qu'il est vide — nous commençons par un outil d'estimation gratuit. Il rend service immédiatement, sans dépendre de l'existence d'annonces, et il capte exactement les personnes qui nous intéressent : les propriétaires qui envisagent de vendre.</w:t>
      </w:r>
    </w:p>
    <w:p>
      <w:pPr>
        <w:spacing w:after="8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b/>
                <w:bCs/>
                <w:color w:val="4D463D"/>
                <w:sz w:val="20"/>
                <w:szCs w:val="20"/>
              </w:rPr>
              <w:t xml:space="preserve">Le pari du projet : </w:t>
            </w:r>
            <w:r>
              <w:rPr>
                <w:rFonts w:ascii="Calibri" w:cs="Calibri" w:eastAsia="Calibri" w:hAnsi="Calibri"/>
                <w:color w:val="4D463D"/>
                <w:sz w:val="20"/>
                <w:szCs w:val="20"/>
              </w:rPr>
              <w:t xml:space="preserve">identifier un propriétaire 12 à 24 mois avant qu'il ne mette son hôtel en vente est la donnée la plus rare de ce marché — et celle que les agences spécialisées sont prêtes à payer.</w:t>
            </w:r>
          </w:p>
        </w:tc>
      </w:tr>
    </w:tbl>
    <w:p>
      <w:pPr>
        <w:spacing w:after="160"/>
      </w:pPr>
      <w:r>
        <w:t xml:space="preserve"/>
      </w:r>
    </w:p>
    <w:p>
      <w:pPr>
        <w:spacing w:after="160" w:line="276"/>
      </w:pPr>
      <w:r>
        <w:rPr>
          <w:rFonts w:ascii="Calibri" w:cs="Calibri" w:eastAsia="Calibri" w:hAnsi="Calibri"/>
          <w:color w:val="1A1A1A"/>
          <w:sz w:val="21"/>
          <w:szCs w:val="21"/>
        </w:rPr>
        <w:t xml:space="preserve">Le site actuel est fonctionnel : moteur d'estimation, contenu éditorial, environ 110 pages de référencement couvrant toute la France métropolitaine, et un tableau de bord de suivi des contacts recueillis. Il n'est pas encore mis en ligne publiquement — deux décisions préalables restent à prendre, détaillées en fin de document.</w:t>
      </w:r>
    </w:p>
    <w:p>
      <w:pPr>
        <w:pStyle w:val="Heading1"/>
        <w:spacing w:after="200" w:before="360"/>
      </w:pPr>
      <w:r>
        <w:rPr>
          <w:rFonts w:ascii="Georgia" w:cs="Georgia" w:eastAsia="Georgia" w:hAnsi="Georgia"/>
          <w:b/>
          <w:bCs/>
          <w:color w:val="16233D"/>
          <w:sz w:val="32"/>
          <w:szCs w:val="32"/>
        </w:rPr>
        <w:t xml:space="preserve">2. Le marché</w:t>
      </w:r>
    </w:p>
    <w:p>
      <w:pPr>
        <w:spacing w:after="160" w:line="276"/>
      </w:pPr>
      <w:r>
        <w:rPr>
          <w:rFonts w:ascii="Calibri" w:cs="Calibri" w:eastAsia="Calibri" w:hAnsi="Calibri"/>
          <w:color w:val="1A1A1A"/>
          <w:sz w:val="21"/>
          <w:szCs w:val="21"/>
        </w:rPr>
        <w:t xml:space="preserve">Le marché de la transaction hôtelière française représente entre 2,5 et 2,7 milliards d'euros par an, un niveau supérieur d'environ 25 % à la moyenne de la dernière décennie. Le parc compte environ 16 600 hôtels, en contraction par rapport aux 17 700 recensés en 2019.</w:t>
      </w:r>
    </w:p>
    <w:p>
      <w:pPr>
        <w:spacing w:after="160" w:line="276"/>
      </w:pPr>
      <w:r>
        <w:rPr>
          <w:rFonts w:ascii="Calibri" w:cs="Calibri" w:eastAsia="Calibri" w:hAnsi="Calibri"/>
          <w:color w:val="1A1A1A"/>
          <w:sz w:val="21"/>
          <w:szCs w:val="21"/>
        </w:rPr>
        <w:t xml:space="preserve">Le chiffre déterminant pour ce projet est ailleurs : environ 18 % des établissements seraient à reprendre dans les cinq ans, sous l'effet des départs en retraite d'exploitants indépendants et des transmissions familiales. C'est un gisement de plusieurs milliers d'établissements, dont les propriétaires n'ont, aujourd'hui, aucun outil simple pour se situer.</w:t>
      </w:r>
    </w:p>
    <w:p>
      <w:pPr>
        <w:pStyle w:val="Heading2"/>
        <w:spacing w:after="140" w:before="280"/>
      </w:pPr>
      <w:r>
        <w:rPr>
          <w:rFonts w:ascii="Georgia" w:cs="Georgia" w:eastAsia="Georgia" w:hAnsi="Georgia"/>
          <w:b/>
          <w:bCs/>
          <w:color w:val="2C4470"/>
          <w:sz w:val="25"/>
          <w:szCs w:val="25"/>
        </w:rPr>
        <w:t xml:space="preserve">Le segment visé</w:t>
      </w:r>
    </w:p>
    <w:p>
      <w:pPr>
        <w:spacing w:after="160" w:line="276"/>
      </w:pPr>
      <w:r>
        <w:rPr>
          <w:rFonts w:ascii="Calibri" w:cs="Calibri" w:eastAsia="Calibri" w:hAnsi="Calibri"/>
          <w:color w:val="1A1A1A"/>
          <w:sz w:val="21"/>
          <w:szCs w:val="21"/>
        </w:rPr>
        <w:t xml:space="preserve">Les actifs de prestige et les portefeuilles institutionnels sont solidement tenus par les grands cabinets internationaux. Ce n'est pas notre terrain. Notre cible naturelle est le mid-market : les hôtels indépendants de 1 à 4 étoiles, en province et dans les villes moyennes, hors Paris intramuros. C'est un segment volumineux, mal servi par le numérique, et négligé par les acteurs qui traitent les grosses opérations.</w:t>
      </w:r>
    </w:p>
    <w:p>
      <w:pPr>
        <w:spacing w:after="80"/>
      </w:pPr>
      <w:r>
        <w:t xml:space="preserve"/>
      </w:r>
    </w:p>
    <w:tbl>
      <w:tblPr>
        <w:tblW w:type="dxa" w:w="9360"/>
        <w:tblBorders>
          <w:top w:val="single" w:color="D9D2C6" w:sz="2"/>
          <w:left w:val="single" w:color="D9D2C6" w:sz="2"/>
          <w:bottom w:val="single" w:color="D9D2C6" w:sz="2"/>
          <w:right w:val="single" w:color="D9D2C6" w:sz="2"/>
          <w:insideH w:val="single" w:color="E6DDD0" w:sz="1"/>
          <w:insideV w:val="single" w:color="E6DDD0" w:sz="1"/>
        </w:tblBorders>
      </w:tblPr>
      <w:tblGrid>
        <w:gridCol w:w="4600"/>
        <w:gridCol w:w="4760"/>
      </w:tblGrid>
      <w:tr>
        <w:trPr>
          <w:tblHeader/>
        </w:trPr>
        <w:tc>
          <w:tcPr>
            <w:tcW w:type="dxa" w:w="46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Indicateur</w:t>
            </w:r>
          </w:p>
        </w:tc>
        <w:tc>
          <w:tcPr>
            <w:tcW w:type="dxa" w:w="476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Valeur</w:t>
            </w:r>
          </w:p>
        </w:tc>
      </w:tr>
      <w:tr>
        <w:tc>
          <w:tcPr>
            <w:tcW w:type="dxa" w:w="4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Transactions hôtelières en France</w:t>
            </w:r>
          </w:p>
        </w:tc>
        <w:tc>
          <w:tcPr>
            <w:tcW w:type="dxa" w:w="4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2,5 à 2,7 milliards € par an</w:t>
            </w:r>
          </w:p>
        </w:tc>
      </w:tr>
      <w:tr>
        <w:tc>
          <w:tcPr>
            <w:tcW w:type="dxa" w:w="4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Parc hôtelier français</w:t>
            </w:r>
          </w:p>
        </w:tc>
        <w:tc>
          <w:tcPr>
            <w:tcW w:type="dxa" w:w="4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environ 16 600 hôtels</w:t>
            </w:r>
          </w:p>
        </w:tc>
      </w:tr>
      <w:tr>
        <w:tc>
          <w:tcPr>
            <w:tcW w:type="dxa" w:w="4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Établissements à reprendre sous 5 ans</w:t>
            </w:r>
          </w:p>
        </w:tc>
        <w:tc>
          <w:tcPr>
            <w:tcW w:type="dxa" w:w="4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environ 18 %</w:t>
            </w:r>
          </w:p>
        </w:tc>
      </w:tr>
      <w:tr>
        <w:tc>
          <w:tcPr>
            <w:tcW w:type="dxa" w:w="4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Durée moyenne de détention d'un actif</w:t>
            </w:r>
          </w:p>
        </w:tc>
        <w:tc>
          <w:tcPr>
            <w:tcW w:type="dxa" w:w="4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7 à 10 ans</w:t>
            </w:r>
          </w:p>
        </w:tc>
      </w:tr>
      <w:tr>
        <w:tc>
          <w:tcPr>
            <w:tcW w:type="dxa" w:w="4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RevPAR moyen France</w:t>
            </w:r>
          </w:p>
        </w:tc>
        <w:tc>
          <w:tcPr>
            <w:tcW w:type="dxa" w:w="4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environ 85 €</w:t>
            </w:r>
          </w:p>
        </w:tc>
      </w:tr>
    </w:tbl>
    <w:p>
      <w:pPr>
        <w:spacing w:after="120"/>
      </w:pPr>
      <w:r>
        <w:t xml:space="preserve"/>
      </w:r>
    </w:p>
    <w:p>
      <w:pPr>
        <w:spacing w:after="160" w:line="276"/>
      </w:pPr>
      <w:r>
        <w:rPr>
          <w:rFonts w:ascii="Calibri" w:cs="Calibri" w:eastAsia="Calibri" w:hAnsi="Calibri"/>
          <w:i/>
          <w:iCs/>
          <w:color w:val="8A8072"/>
          <w:sz w:val="18"/>
          <w:szCs w:val="18"/>
        </w:rPr>
        <w:t xml:space="preserve">Données collectées en juillet 2026, à partir des études publiées par les cabinets spécialisés. Elles sont à revérifier avant toute décision d'investissement significative.</w:t>
      </w:r>
    </w:p>
    <w:p>
      <w:pPr>
        <w:pStyle w:val="Heading1"/>
        <w:spacing w:after="200" w:before="360"/>
      </w:pPr>
      <w:r>
        <w:rPr>
          <w:rFonts w:ascii="Georgia" w:cs="Georgia" w:eastAsia="Georgia" w:hAnsi="Georgia"/>
          <w:b/>
          <w:bCs/>
          <w:color w:val="16233D"/>
          <w:sz w:val="32"/>
          <w:szCs w:val="32"/>
        </w:rPr>
        <w:t xml:space="preserve">3. Le problème que nous résolvons</w:t>
      </w:r>
    </w:p>
    <w:p>
      <w:pPr>
        <w:spacing w:after="160" w:line="276"/>
      </w:pPr>
      <w:r>
        <w:rPr>
          <w:rFonts w:ascii="Calibri" w:cs="Calibri" w:eastAsia="Calibri" w:hAnsi="Calibri"/>
          <w:color w:val="1A1A1A"/>
          <w:sz w:val="21"/>
          <w:szCs w:val="21"/>
        </w:rPr>
        <w:t xml:space="preserve">Six acteurs se partagent aujourd'hui la diffusion des annonces d'hôtels à vendre : des portails généralistes de cession de commerces, un média professionnel de référence, un agrégateur public, deux généralistes grand public et quelques petits portails spécialisés.</w:t>
      </w:r>
    </w:p>
    <w:p>
      <w:pPr>
        <w:spacing w:after="160" w:line="276"/>
      </w:pPr>
      <w:r>
        <w:rPr>
          <w:rFonts w:ascii="Calibri" w:cs="Calibri" w:eastAsia="Calibri" w:hAnsi="Calibri"/>
          <w:color w:val="1A1A1A"/>
          <w:sz w:val="21"/>
          <w:szCs w:val="21"/>
        </w:rPr>
        <w:t xml:space="preserve">Aucun ne combine les trois éléments qui font la différence sur ce marché :</w:t>
      </w:r>
    </w:p>
    <w:p>
      <w:pPr>
        <w:pStyle w:val="ListParagraph"/>
        <w:numPr>
          <w:ilvl w:val="0"/>
          <w:numId w:val="2"/>
        </w:numPr>
        <w:spacing w:after="90" w:line="276"/>
      </w:pPr>
      <w:r>
        <w:rPr>
          <w:rFonts w:ascii="Calibri" w:cs="Calibri" w:eastAsia="Calibri" w:hAnsi="Calibri"/>
          <w:color w:val="1A1A1A"/>
          <w:sz w:val="21"/>
          <w:szCs w:val="21"/>
        </w:rPr>
        <w:t xml:space="preserve">Une véritable expérience de recherche — carte interactive, filtres métier — comparable à ce que l'immobilier résidentiel propose depuis quinze ans.</w:t>
      </w:r>
    </w:p>
    <w:p>
      <w:pPr>
        <w:pStyle w:val="ListParagraph"/>
        <w:numPr>
          <w:ilvl w:val="0"/>
          <w:numId w:val="2"/>
        </w:numPr>
        <w:spacing w:after="90" w:line="276"/>
      </w:pPr>
      <w:r>
        <w:rPr>
          <w:rFonts w:ascii="Calibri" w:cs="Calibri" w:eastAsia="Calibri" w:hAnsi="Calibri"/>
          <w:color w:val="1A1A1A"/>
          <w:sz w:val="21"/>
          <w:szCs w:val="21"/>
        </w:rPr>
        <w:t xml:space="preserve">Des données financières structurées et comparables : chiffre d'affaires, EBITDA, taux d'occupation, RevPAR. Ce sont les seuls critères qui comptent pour un repreneur, et ils sont presque toujours absents ou noyés dans du texte libre.</w:t>
      </w:r>
    </w:p>
    <w:p>
      <w:pPr>
        <w:pStyle w:val="ListParagraph"/>
        <w:numPr>
          <w:ilvl w:val="0"/>
          <w:numId w:val="2"/>
        </w:numPr>
        <w:spacing w:after="90" w:line="276"/>
      </w:pPr>
      <w:r>
        <w:rPr>
          <w:rFonts w:ascii="Calibri" w:cs="Calibri" w:eastAsia="Calibri" w:hAnsi="Calibri"/>
          <w:color w:val="1A1A1A"/>
          <w:sz w:val="21"/>
          <w:szCs w:val="21"/>
        </w:rPr>
        <w:t xml:space="preserve">Un vrai parcours de confidentialité. Un hôtelier ne peut pas laisser ses salariés, ses clients et ses fournisseurs apprendre la mise en vente par la rumeur. La discrétion n'est pas un confort : c'est une condition d'entrée sur ce marché.</w:t>
      </w:r>
    </w:p>
    <w:p>
      <w:pPr>
        <w:spacing w:after="80"/>
      </w:pPr>
      <w:r>
        <w:t xml:space="preserve"/>
      </w:r>
    </w:p>
    <w:p>
      <w:pPr>
        <w:spacing w:after="160" w:line="276"/>
      </w:pPr>
      <w:r>
        <w:rPr>
          <w:rFonts w:ascii="Calibri" w:cs="Calibri" w:eastAsia="Calibri" w:hAnsi="Calibri"/>
          <w:color w:val="1A1A1A"/>
          <w:sz w:val="21"/>
          <w:szCs w:val="21"/>
        </w:rPr>
        <w:t xml:space="preserve">Côté vendeur, le manque est encore plus criant : il n'existe aucun équivalent hôtelier de ce que MeilleursAgents a apporté à l'immobilier résidentiel. Un propriétaire qui veut se faire une idée de la valeur de son bien n'a d'autre choix que d'appeler une agence — c'est-à-dire d'engager une démarche commerciale alors qu'il n'en est qu'au stade de la réflexion.</w:t>
      </w:r>
    </w:p>
    <w:p>
      <w:pPr>
        <w:pStyle w:val="Heading1"/>
        <w:spacing w:after="200" w:before="360"/>
      </w:pPr>
      <w:r>
        <w:rPr>
          <w:rFonts w:ascii="Georgia" w:cs="Georgia" w:eastAsia="Georgia" w:hAnsi="Georgia"/>
          <w:b/>
          <w:bCs/>
          <w:color w:val="16233D"/>
          <w:sz w:val="32"/>
          <w:szCs w:val="32"/>
        </w:rPr>
        <w:t xml:space="preserve">4. La stratégie : commencer par l'estimation</w:t>
      </w:r>
    </w:p>
    <w:p>
      <w:pPr>
        <w:spacing w:after="160" w:line="276"/>
      </w:pPr>
      <w:r>
        <w:rPr>
          <w:rFonts w:ascii="Calibri" w:cs="Calibri" w:eastAsia="Calibri" w:hAnsi="Calibri"/>
          <w:color w:val="1A1A1A"/>
          <w:sz w:val="21"/>
          <w:szCs w:val="21"/>
        </w:rPr>
        <w:t xml:space="preserve">Une place de marché souffre d'un problème bien connu : elle n'a de valeur pour les acheteurs que si elle contient des annonces, et n'attire de vendeurs que si elle a des acheteurs. Démarrer par les annonces revient à financer plusieurs mois de développement avant de savoir si le marché répond.</w:t>
      </w:r>
    </w:p>
    <w:p>
      <w:pPr>
        <w:spacing w:after="160" w:line="276"/>
      </w:pPr>
      <w:r>
        <w:rPr>
          <w:rFonts w:ascii="Calibri" w:cs="Calibri" w:eastAsia="Calibri" w:hAnsi="Calibri"/>
          <w:color w:val="1A1A1A"/>
          <w:sz w:val="21"/>
          <w:szCs w:val="21"/>
        </w:rPr>
        <w:t xml:space="preserve">Nous prenons le problème par l'autre bout. L'estimation en ligne fonctionne dès le premier jour, sans stock d'annonces : elle rend service seule. Elle permet donc de vérifier, pour un coût de développement limité à quelques semaines, qu'il existe bien des propriétaires en réflexion — et combien.</w:t>
      </w:r>
    </w:p>
    <w:p>
      <w:pPr>
        <w:spacing w:after="80"/>
      </w:pPr>
      <w:r>
        <w:t xml:space="preserve"/>
      </w:r>
    </w:p>
    <w:p>
      <w:pPr>
        <w:pStyle w:val="Heading2"/>
        <w:spacing w:after="140" w:before="280"/>
      </w:pPr>
      <w:r>
        <w:rPr>
          <w:rFonts w:ascii="Georgia" w:cs="Georgia" w:eastAsia="Georgia" w:hAnsi="Georgia"/>
          <w:b/>
          <w:bCs/>
          <w:color w:val="2C4470"/>
          <w:sz w:val="25"/>
          <w:szCs w:val="25"/>
        </w:rPr>
        <w:t xml:space="preserve">Les trois temps du projet</w:t>
      </w:r>
    </w:p>
    <w:p>
      <w:pPr>
        <w:pStyle w:val="ListParagraph"/>
        <w:numPr>
          <w:ilvl w:val="0"/>
          <w:numId w:val="3"/>
        </w:numPr>
        <w:spacing w:after="90" w:line="276"/>
      </w:pPr>
      <w:r>
        <w:rPr>
          <w:rFonts w:ascii="Calibri" w:cs="Calibri" w:eastAsia="Calibri" w:hAnsi="Calibri"/>
          <w:color w:val="1A1A1A"/>
          <w:sz w:val="21"/>
          <w:szCs w:val="21"/>
        </w:rPr>
        <w:t xml:space="preserve">Les vendeurs d'abord. Référencement naturel et estimation gratuite. La face vendeur s'amorce toute seule.</w:t>
      </w:r>
    </w:p>
    <w:p>
      <w:pPr>
        <w:pStyle w:val="ListParagraph"/>
        <w:numPr>
          <w:ilvl w:val="0"/>
          <w:numId w:val="3"/>
        </w:numPr>
        <w:spacing w:after="90" w:line="276"/>
      </w:pPr>
      <w:r>
        <w:rPr>
          <w:rFonts w:ascii="Calibri" w:cs="Calibri" w:eastAsia="Calibri" w:hAnsi="Calibri"/>
          <w:color w:val="1A1A1A"/>
          <w:sz w:val="21"/>
          <w:szCs w:val="21"/>
        </w:rPr>
        <w:t xml:space="preserve">Les agences ensuite. Nous leur apportons des contacts vendeurs qualifiés, qu'elles ne trouvent nulle part ailleurs. Elles n'ont rien à perdre à essayer.</w:t>
      </w:r>
    </w:p>
    <w:p>
      <w:pPr>
        <w:pStyle w:val="ListParagraph"/>
        <w:numPr>
          <w:ilvl w:val="0"/>
          <w:numId w:val="3"/>
        </w:numPr>
        <w:spacing w:after="90" w:line="276"/>
      </w:pPr>
      <w:r>
        <w:rPr>
          <w:rFonts w:ascii="Calibri" w:cs="Calibri" w:eastAsia="Calibri" w:hAnsi="Calibri"/>
          <w:color w:val="1A1A1A"/>
          <w:sz w:val="21"/>
          <w:szCs w:val="21"/>
        </w:rPr>
        <w:t xml:space="preserve">Les acheteurs enfin. Le stock d'annonces — mandats d'agences et vendeurs directs — attire naturellement les repreneurs.</w:t>
      </w:r>
    </w:p>
    <w:p>
      <w:pPr>
        <w:spacing w:after="12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b/>
                <w:bCs/>
                <w:color w:val="4D463D"/>
                <w:sz w:val="20"/>
                <w:szCs w:val="20"/>
              </w:rPr>
              <w:t xml:space="preserve">Un point de décision explicite est inscrit dans le projet. </w:t>
            </w:r>
            <w:r>
              <w:rPr>
                <w:rFonts w:ascii="Calibri" w:cs="Calibri" w:eastAsia="Calibri" w:hAnsi="Calibri"/>
                <w:color w:val="4D463D"/>
                <w:sz w:val="20"/>
                <w:szCs w:val="20"/>
              </w:rPr>
              <w:t xml:space="preserve">Après environ deux mois de mise en ligne, trois critères chiffrés déterminent la suite : le nombre de propriétaires ayant laissé leur adresse (objectif 30 à 50), la proportion d'entre eux déclarant une intention de vente sous deux ans (objectif ≥ 30 %), et la tendance du trafic de recherche. En dessous, on arrête ou on réoriente — la perte est limitée à quelques semaines de travail.</w:t>
            </w:r>
          </w:p>
        </w:tc>
      </w:tr>
    </w:tbl>
    <w:p>
      <w:r>
        <w:br w:type="page"/>
      </w:r>
    </w:p>
    <w:p>
      <w:pPr>
        <w:pStyle w:val="Heading1"/>
        <w:spacing w:after="200" w:before="360"/>
      </w:pPr>
      <w:r>
        <w:rPr>
          <w:rFonts w:ascii="Georgia" w:cs="Georgia" w:eastAsia="Georgia" w:hAnsi="Georgia"/>
          <w:b/>
          <w:bCs/>
          <w:color w:val="16233D"/>
          <w:sz w:val="32"/>
          <w:szCs w:val="32"/>
        </w:rPr>
        <w:t xml:space="preserve">5. Ce que fait la plateforme aujourd'hui</w:t>
      </w:r>
    </w:p>
    <w:p>
      <w:pPr>
        <w:spacing w:after="160" w:line="276"/>
      </w:pPr>
      <w:r>
        <w:rPr>
          <w:rFonts w:ascii="Calibri" w:cs="Calibri" w:eastAsia="Calibri" w:hAnsi="Calibri"/>
          <w:color w:val="1A1A1A"/>
          <w:sz w:val="21"/>
          <w:szCs w:val="21"/>
        </w:rPr>
        <w:t xml:space="preserve">Le produit décrit ci-dessous est développé, testé et fonctionnel. Il attend une mise en ligne publique.</w:t>
      </w:r>
    </w:p>
    <w:p>
      <w:pPr>
        <w:pStyle w:val="Heading2"/>
        <w:spacing w:after="140" w:before="280"/>
      </w:pPr>
      <w:r>
        <w:rPr>
          <w:rFonts w:ascii="Georgia" w:cs="Georgia" w:eastAsia="Georgia" w:hAnsi="Georgia"/>
          <w:b/>
          <w:bCs/>
          <w:color w:val="2C4470"/>
          <w:sz w:val="25"/>
          <w:szCs w:val="25"/>
        </w:rPr>
        <w:t xml:space="preserve">5.1 Le moteur d'estimation</w:t>
      </w:r>
    </w:p>
    <w:p>
      <w:pPr>
        <w:spacing w:after="160" w:line="276"/>
      </w:pPr>
      <w:r>
        <w:rPr>
          <w:rFonts w:ascii="Calibri" w:cs="Calibri" w:eastAsia="Calibri" w:hAnsi="Calibri"/>
          <w:color w:val="1A1A1A"/>
          <w:sz w:val="21"/>
          <w:szCs w:val="21"/>
        </w:rPr>
        <w:t xml:space="preserve">C'est le cœur du produit. Un propriétaire renseigne son établissement en cinq étapes courtes — une question par écran, pensé pour un usage sur téléphone depuis la réception d'un hôtel :</w:t>
      </w:r>
    </w:p>
    <w:p>
      <w:pPr>
        <w:pStyle w:val="ListParagraph"/>
        <w:numPr>
          <w:ilvl w:val="0"/>
          <w:numId w:val="2"/>
        </w:numPr>
        <w:spacing w:after="90" w:line="276"/>
      </w:pPr>
      <w:r>
        <w:rPr>
          <w:rFonts w:ascii="Calibri" w:cs="Calibri" w:eastAsia="Calibri" w:hAnsi="Calibri"/>
          <w:color w:val="1A1A1A"/>
          <w:sz w:val="21"/>
          <w:szCs w:val="21"/>
        </w:rPr>
        <w:t xml:space="preserve">Localisation : région, puis département, et ville facultative.</w:t>
      </w:r>
    </w:p>
    <w:p>
      <w:pPr>
        <w:pStyle w:val="ListParagraph"/>
        <w:numPr>
          <w:ilvl w:val="0"/>
          <w:numId w:val="2"/>
        </w:numPr>
        <w:spacing w:after="90" w:line="276"/>
      </w:pPr>
      <w:r>
        <w:rPr>
          <w:rFonts w:ascii="Calibri" w:cs="Calibri" w:eastAsia="Calibri" w:hAnsi="Calibri"/>
          <w:color w:val="1A1A1A"/>
          <w:sz w:val="21"/>
          <w:szCs w:val="21"/>
        </w:rPr>
        <w:t xml:space="preserve">Type d'opération : murs seuls, fonds de commerce seul, murs et fonds, ou location-gérance.</w:t>
      </w:r>
    </w:p>
    <w:p>
      <w:pPr>
        <w:pStyle w:val="ListParagraph"/>
        <w:numPr>
          <w:ilvl w:val="0"/>
          <w:numId w:val="2"/>
        </w:numPr>
        <w:spacing w:after="90" w:line="276"/>
      </w:pPr>
      <w:r>
        <w:rPr>
          <w:rFonts w:ascii="Calibri" w:cs="Calibri" w:eastAsia="Calibri" w:hAnsi="Calibri"/>
          <w:color w:val="1A1A1A"/>
          <w:sz w:val="21"/>
          <w:szCs w:val="21"/>
        </w:rPr>
        <w:t xml:space="preserve">Caractéristiques : nombre de chambres, classement en étoiles, présence d'une licence IV.</w:t>
      </w:r>
    </w:p>
    <w:p>
      <w:pPr>
        <w:pStyle w:val="ListParagraph"/>
        <w:numPr>
          <w:ilvl w:val="0"/>
          <w:numId w:val="2"/>
        </w:numPr>
        <w:spacing w:after="90" w:line="276"/>
      </w:pPr>
      <w:r>
        <w:rPr>
          <w:rFonts w:ascii="Calibri" w:cs="Calibri" w:eastAsia="Calibri" w:hAnsi="Calibri"/>
          <w:color w:val="1A1A1A"/>
          <w:sz w:val="21"/>
          <w:szCs w:val="21"/>
        </w:rPr>
        <w:t xml:space="preserve">Chiffres, facultatifs : chiffre d'affaires et EBITDA annuels. Les renseigner affine sensiblement le résultat, mais l'estimation fonctionne sans.</w:t>
      </w:r>
    </w:p>
    <w:p>
      <w:pPr>
        <w:pStyle w:val="ListParagraph"/>
        <w:numPr>
          <w:ilvl w:val="0"/>
          <w:numId w:val="2"/>
        </w:numPr>
        <w:spacing w:after="90" w:line="276"/>
      </w:pPr>
      <w:r>
        <w:rPr>
          <w:rFonts w:ascii="Calibri" w:cs="Calibri" w:eastAsia="Calibri" w:hAnsi="Calibri"/>
          <w:color w:val="1A1A1A"/>
          <w:sz w:val="21"/>
          <w:szCs w:val="21"/>
        </w:rPr>
        <w:t xml:space="preserve">Adresse électronique, demandée seulement à la dernière étape — au moment où l'on donne de la valeur en échange, jamais avant.</w:t>
      </w:r>
    </w:p>
    <w:p>
      <w:pPr>
        <w:spacing w:after="80"/>
      </w:pPr>
      <w:r>
        <w:t xml:space="preserve"/>
      </w:r>
    </w:p>
    <w:p>
      <w:pPr>
        <w:spacing w:after="160" w:line="276"/>
      </w:pPr>
      <w:r>
        <w:rPr>
          <w:rFonts w:ascii="Calibri" w:cs="Calibri" w:eastAsia="Calibri" w:hAnsi="Calibri"/>
          <w:color w:val="1A1A1A"/>
          <w:sz w:val="21"/>
          <w:szCs w:val="21"/>
        </w:rPr>
        <w:t xml:space="preserve">Le résultat est une fourchette, jamais un chiffre unique, accompagnée de l'explication de la méthode employée. Le détail du calcul fait l'objet du second document.</w:t>
      </w:r>
    </w:p>
    <w:p>
      <w:pPr>
        <w:spacing w:after="8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color w:val="4D463D"/>
                <w:sz w:val="20"/>
                <w:szCs w:val="20"/>
              </w:rPr>
              <w:t xml:space="preserve">La dernière question du parcours est la plus importante du projet : « Envisagez-vous de vendre ? » — moins d'un an, un à deux ans, ou simple curiosité. C'est cette réponse, associée au consentement explicite à être recontacté, qui transforme une visite anonyme en information commercialement exploitable.</w:t>
            </w:r>
          </w:p>
        </w:tc>
      </w:tr>
    </w:tbl>
    <w:p>
      <w:pPr>
        <w:pStyle w:val="Heading2"/>
        <w:spacing w:after="140" w:before="280"/>
      </w:pPr>
      <w:r>
        <w:rPr>
          <w:rFonts w:ascii="Georgia" w:cs="Georgia" w:eastAsia="Georgia" w:hAnsi="Georgia"/>
          <w:b/>
          <w:bCs/>
          <w:color w:val="2C4470"/>
          <w:sz w:val="25"/>
          <w:szCs w:val="25"/>
        </w:rPr>
        <w:t xml:space="preserve">5.2 L'acquisition par le référencement</w:t>
      </w:r>
    </w:p>
    <w:p>
      <w:pPr>
        <w:spacing w:after="160" w:line="276"/>
      </w:pPr>
      <w:r>
        <w:rPr>
          <w:rFonts w:ascii="Calibri" w:cs="Calibri" w:eastAsia="Calibri" w:hAnsi="Calibri"/>
          <w:color w:val="1A1A1A"/>
          <w:sz w:val="21"/>
          <w:szCs w:val="21"/>
        </w:rPr>
        <w:t xml:space="preserve">Le référencement naturel représente l'essentiel de l'effort d'acquisition, pour une raison simple : sur ce marché de quelques milliers de transactions annuelles, la publicité payante coûterait plus cher qu'elle ne rapporterait.</w:t>
      </w:r>
    </w:p>
    <w:p>
      <w:pPr>
        <w:spacing w:after="160" w:line="276"/>
      </w:pPr>
      <w:r>
        <w:rPr>
          <w:rFonts w:ascii="Calibri" w:cs="Calibri" w:eastAsia="Calibri" w:hAnsi="Calibri"/>
          <w:color w:val="1A1A1A"/>
          <w:sz w:val="21"/>
          <w:szCs w:val="21"/>
        </w:rPr>
        <w:t xml:space="preserve">La plateforme génère automatiquement environ 110 pages, une par région et une par département de France métropolitaine, chacune présentant les fourchettes de valorisation locales par catégorie d'établissement et les chiffres du marché. Ces pages ne sont pas du remplissage : elles affichent des données réellement différenciées d'un territoire à l'autre.</w:t>
      </w:r>
    </w:p>
    <w:p>
      <w:pPr>
        <w:spacing w:after="160" w:line="276"/>
      </w:pPr>
      <w:r>
        <w:rPr>
          <w:rFonts w:ascii="Calibri" w:cs="Calibri" w:eastAsia="Calibri" w:hAnsi="Calibri"/>
          <w:color w:val="1A1A1A"/>
          <w:sz w:val="21"/>
          <w:szCs w:val="21"/>
        </w:rPr>
        <w:t xml:space="preserve">S'y ajoutent trois guides de fond rédigés pour être utiles et non pour manipuler un moteur de recherche : « Combien vaut mon hôtel ? », « Vendre son hôtel : les étapes », et « Le multiple d'EBITDA en hôtellerie, expliqué simplement ».</w:t>
      </w:r>
    </w:p>
    <w:p>
      <w:pPr>
        <w:pStyle w:val="Heading2"/>
        <w:spacing w:after="140" w:before="280"/>
      </w:pPr>
      <w:r>
        <w:rPr>
          <w:rFonts w:ascii="Georgia" w:cs="Georgia" w:eastAsia="Georgia" w:hAnsi="Georgia"/>
          <w:b/>
          <w:bCs/>
          <w:color w:val="2C4470"/>
          <w:sz w:val="25"/>
          <w:szCs w:val="25"/>
        </w:rPr>
        <w:t xml:space="preserve">5.3 Le suivi des contacts</w:t>
      </w:r>
    </w:p>
    <w:p>
      <w:pPr>
        <w:spacing w:after="160" w:line="276"/>
      </w:pPr>
      <w:r>
        <w:rPr>
          <w:rFonts w:ascii="Calibri" w:cs="Calibri" w:eastAsia="Calibri" w:hAnsi="Calibri"/>
          <w:color w:val="1A1A1A"/>
          <w:sz w:val="21"/>
          <w:szCs w:val="21"/>
        </w:rPr>
        <w:t xml:space="preserve">Un tableau de bord protégé par mot de passe présente, sur un seul écran lisible en trente secondes : le nombre de contacts recueillis, la proportion de ceux qui déclarent une intention de vente à moins de deux ans, la répartition par canal d'acquisition, et la liste détaillée des estimations réalisées. Un export au format tableur permet de travailler ces données hors de la plateforme.</w:t>
      </w:r>
    </w:p>
    <w:p>
      <w:pPr>
        <w:spacing w:after="160" w:line="276"/>
      </w:pPr>
      <w:r>
        <w:rPr>
          <w:rFonts w:ascii="Calibri" w:cs="Calibri" w:eastAsia="Calibri" w:hAnsi="Calibri"/>
          <w:color w:val="1A1A1A"/>
          <w:sz w:val="21"/>
          <w:szCs w:val="21"/>
        </w:rPr>
        <w:t xml:space="preserve">Chaque contact conserve la trace de son origine — quelle page, quelle campagne l'a amené — ce qui permettra de savoir quels contenus produisent réellement des vendeurs.</w:t>
      </w:r>
    </w:p>
    <w:p>
      <w:pPr>
        <w:pStyle w:val="Heading2"/>
        <w:spacing w:after="140" w:before="280"/>
      </w:pPr>
      <w:r>
        <w:rPr>
          <w:rFonts w:ascii="Georgia" w:cs="Georgia" w:eastAsia="Georgia" w:hAnsi="Georgia"/>
          <w:b/>
          <w:bCs/>
          <w:color w:val="2C4470"/>
          <w:sz w:val="25"/>
          <w:szCs w:val="25"/>
        </w:rPr>
        <w:t xml:space="preserve">5.4 Conception et accessibilité</w:t>
      </w:r>
    </w:p>
    <w:p>
      <w:pPr>
        <w:spacing w:after="160" w:line="276"/>
      </w:pPr>
      <w:r>
        <w:rPr>
          <w:rFonts w:ascii="Calibri" w:cs="Calibri" w:eastAsia="Calibri" w:hAnsi="Calibri"/>
          <w:color w:val="1A1A1A"/>
          <w:sz w:val="21"/>
          <w:szCs w:val="21"/>
        </w:rPr>
        <w:t xml:space="preserve">Le public visé a majoritairement entre 50 et 65 ans. Le site a été conçu en conséquence : corps de texte généreux, contrastes renforcés, cibles tactiles larges, formulaire découpé en étapes courtes plutôt qu'en mur de champs.</w:t>
      </w:r>
    </w:p>
    <w:p>
      <w:pPr>
        <w:spacing w:after="160" w:line="276"/>
      </w:pPr>
      <w:r>
        <w:rPr>
          <w:rFonts w:ascii="Calibri" w:cs="Calibri" w:eastAsia="Calibri" w:hAnsi="Calibri"/>
          <w:color w:val="1A1A1A"/>
          <w:sz w:val="21"/>
          <w:szCs w:val="21"/>
        </w:rPr>
        <w:t xml:space="preserve">Les mesures de performance et d'accessibilité réalisées sur la version actuelle donnent 99 à 100 sur 100 en performance, 100 sur 100 en accessibilité et 100 sur 100 en référencement technique, sur mobile. Deux défauts d'accessibilité relevés en cours de développement — un contraste insuffisant et des zones cliquables trop petites — ont été corrigés.</w:t>
      </w:r>
    </w:p>
    <w:p>
      <w:r>
        <w:br w:type="page"/>
      </w:r>
    </w:p>
    <w:p>
      <w:pPr>
        <w:pStyle w:val="Heading1"/>
        <w:spacing w:after="200" w:before="360"/>
      </w:pPr>
      <w:r>
        <w:rPr>
          <w:rFonts w:ascii="Georgia" w:cs="Georgia" w:eastAsia="Georgia" w:hAnsi="Georgia"/>
          <w:b/>
          <w:bCs/>
          <w:color w:val="16233D"/>
          <w:sz w:val="32"/>
          <w:szCs w:val="32"/>
        </w:rPr>
        <w:t xml:space="preserve">6. Positionnement juridique</w:t>
      </w:r>
    </w:p>
    <w:p>
      <w:pPr>
        <w:spacing w:after="160" w:line="276"/>
      </w:pPr>
      <w:r>
        <w:rPr>
          <w:rFonts w:ascii="Calibri" w:cs="Calibri" w:eastAsia="Calibri" w:hAnsi="Calibri"/>
          <w:color w:val="1A1A1A"/>
          <w:sz w:val="21"/>
          <w:szCs w:val="21"/>
        </w:rPr>
        <w:t xml:space="preserve">C'est le point le plus structurant du projet, et il conditionne des choix de produit très concrets.</w:t>
      </w:r>
    </w:p>
    <w:p>
      <w:pPr>
        <w:spacing w:after="160" w:line="276"/>
      </w:pPr>
      <w:r>
        <w:rPr>
          <w:rFonts w:ascii="Calibri" w:cs="Calibri" w:eastAsia="Calibri" w:hAnsi="Calibri"/>
          <w:color w:val="1A1A1A"/>
          <w:sz w:val="21"/>
          <w:szCs w:val="21"/>
        </w:rPr>
        <w:t xml:space="preserve">La loi Hoguet encadre l'intermédiation sur les fonds de commerce et les immeubles. Toute personne qui exerce cette intermédiation de façon habituelle et rémunérée doit détenir une carte professionnelle « T », délivrée par la chambre de commerce, avec garantie financière et assurance. L'exercice sans carte est passible d'un an d'emprisonnement et de 15 000 euros d'amende.</w:t>
      </w:r>
    </w:p>
    <w:p>
      <w:pPr>
        <w:spacing w:after="8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b/>
                <w:bCs/>
                <w:color w:val="4D463D"/>
                <w:sz w:val="20"/>
                <w:szCs w:val="20"/>
              </w:rPr>
              <w:t xml:space="preserve">La plateforme se positionne strictement comme un support de diffusion et de mise en relation</w:t>
            </w:r>
            <w:r>
              <w:rPr>
                <w:rFonts w:ascii="Calibri" w:cs="Calibri" w:eastAsia="Calibri" w:hAnsi="Calibri"/>
                <w:color w:val="4D463D"/>
                <w:sz w:val="20"/>
                <w:szCs w:val="20"/>
              </w:rPr>
              <w:t xml:space="preserve">, sur le modèle des portails immobiliers — pas comme un intermédiaire. Elle ne négocie pas, ne rédige pas de mandats, ne perçoit ni honoraires de transaction ni fonds pour le compte de tiers. Ses revenus proviennent d'abonnements et de la vente de contacts qualifiés, jamais d'une commission au succès.</w:t>
            </w:r>
          </w:p>
        </w:tc>
      </w:tr>
    </w:tbl>
    <w:p>
      <w:pPr>
        <w:spacing w:after="160"/>
      </w:pPr>
      <w:r>
        <w:t xml:space="preserve"/>
      </w:r>
    </w:p>
    <w:p>
      <w:pPr>
        <w:spacing w:after="160" w:line="276"/>
      </w:pPr>
      <w:r>
        <w:rPr>
          <w:rFonts w:ascii="Calibri" w:cs="Calibri" w:eastAsia="Calibri" w:hAnsi="Calibri"/>
          <w:color w:val="1A1A1A"/>
          <w:sz w:val="21"/>
          <w:szCs w:val="21"/>
        </w:rPr>
        <w:t xml:space="preserve">Ce positionnement se traduit dans le produit : aucun flux financier entre acheteur et vendeur ne transite par la plateforme, aucun module de négociation n'est prévu, et le vocabulaire employé est contrôlé. Toute évolution vers l'intermédiation déclencherait l'obligation de carte professionnelle et devrait être validée par un avocat au préalable.</w:t>
      </w:r>
    </w:p>
    <w:p>
      <w:pPr>
        <w:pStyle w:val="Heading2"/>
        <w:spacing w:after="140" w:before="280"/>
      </w:pPr>
      <w:r>
        <w:rPr>
          <w:rFonts w:ascii="Georgia" w:cs="Georgia" w:eastAsia="Georgia" w:hAnsi="Georgia"/>
          <w:b/>
          <w:bCs/>
          <w:color w:val="2C4470"/>
          <w:sz w:val="25"/>
          <w:szCs w:val="25"/>
        </w:rPr>
        <w:t xml:space="preserve">Autres obligations</w:t>
      </w:r>
    </w:p>
    <w:p>
      <w:pPr>
        <w:pStyle w:val="ListParagraph"/>
        <w:numPr>
          <w:ilvl w:val="0"/>
          <w:numId w:val="2"/>
        </w:numPr>
        <w:spacing w:after="90" w:line="276"/>
      </w:pPr>
      <w:r>
        <w:rPr>
          <w:rFonts w:ascii="Calibri" w:cs="Calibri" w:eastAsia="Calibri" w:hAnsi="Calibri"/>
          <w:b/>
          <w:bCs/>
          <w:color w:val="1A1A1A"/>
          <w:sz w:val="21"/>
          <w:szCs w:val="21"/>
        </w:rPr>
        <w:t xml:space="preserve">Protection des données : </w:t>
      </w:r>
      <w:r>
        <w:rPr>
          <w:rFonts w:ascii="Calibri" w:cs="Calibri" w:eastAsia="Calibri" w:hAnsi="Calibri"/>
          <w:color w:val="1A1A1A"/>
          <w:sz w:val="21"/>
          <w:szCs w:val="21"/>
        </w:rPr>
        <w:t xml:space="preserve">hébergement en Union européenne, consentement explicite et tracé pour tout recontact, possibilité de désinscription simple. Les données financières confiées par les propriétaires sont sensibles et traitées comme telles.</w:t>
      </w:r>
    </w:p>
    <w:p>
      <w:pPr>
        <w:pStyle w:val="ListParagraph"/>
        <w:numPr>
          <w:ilvl w:val="0"/>
          <w:numId w:val="2"/>
        </w:numPr>
        <w:spacing w:after="90" w:line="276"/>
      </w:pPr>
      <w:r>
        <w:rPr>
          <w:rFonts w:ascii="Calibri" w:cs="Calibri" w:eastAsia="Calibri" w:hAnsi="Calibri"/>
          <w:b/>
          <w:bCs/>
          <w:color w:val="1A1A1A"/>
          <w:sz w:val="21"/>
          <w:szCs w:val="21"/>
        </w:rPr>
        <w:t xml:space="preserve">Transparence commerciale : </w:t>
      </w:r>
      <w:r>
        <w:rPr>
          <w:rFonts w:ascii="Calibri" w:cs="Calibri" w:eastAsia="Calibri" w:hAnsi="Calibri"/>
          <w:color w:val="1A1A1A"/>
          <w:sz w:val="21"/>
          <w:szCs w:val="21"/>
        </w:rPr>
        <w:t xml:space="preserve">affichage des honoraires et de leur répartition sur les annonces professionnelles, lorsque la place de marché ouvrira.</w:t>
      </w:r>
    </w:p>
    <w:p>
      <w:pPr>
        <w:pStyle w:val="ListParagraph"/>
        <w:numPr>
          <w:ilvl w:val="0"/>
          <w:numId w:val="2"/>
        </w:numPr>
        <w:spacing w:after="90" w:line="276"/>
      </w:pPr>
      <w:r>
        <w:rPr>
          <w:rFonts w:ascii="Calibri" w:cs="Calibri" w:eastAsia="Calibri" w:hAnsi="Calibri"/>
          <w:b/>
          <w:bCs/>
          <w:color w:val="1A1A1A"/>
          <w:sz w:val="21"/>
          <w:szCs w:val="21"/>
        </w:rPr>
        <w:t xml:space="preserve">Vérification des professionnels : </w:t>
      </w:r>
      <w:r>
        <w:rPr>
          <w:rFonts w:ascii="Calibri" w:cs="Calibri" w:eastAsia="Calibri" w:hAnsi="Calibri"/>
          <w:color w:val="1A1A1A"/>
          <w:sz w:val="21"/>
          <w:szCs w:val="21"/>
        </w:rPr>
        <w:t xml:space="preserve">contrôle du numéro SIRET et de la carte professionnelle des agences à leur inscription. C'est à la fois une obligation de sérieux et un argument de confiance.</w:t>
      </w:r>
    </w:p>
    <w:p>
      <w:pPr>
        <w:spacing w:after="120"/>
      </w:pPr>
      <w:r>
        <w:t xml:space="preserve"/>
      </w:r>
    </w:p>
    <w:p>
      <w:pPr>
        <w:spacing w:after="160" w:line="276"/>
      </w:pPr>
      <w:r>
        <w:rPr>
          <w:rFonts w:ascii="Calibri" w:cs="Calibri" w:eastAsia="Calibri" w:hAnsi="Calibri"/>
          <w:color w:val="1A1A1A"/>
          <w:sz w:val="21"/>
          <w:szCs w:val="21"/>
        </w:rPr>
        <w:t xml:space="preserve">Cinq points doivent être validés par un juriste avant le lancement commercial : la confirmation écrite du statut de diffuseur, la conformité du dispositif de signalement des contenus, les conditions générales, la qualification au regard de la lutte anti-blanchiment, et la validité de l'accord de confidentialité électronique simplifié prévu pour la place de marché.</w:t>
      </w:r>
    </w:p>
    <w:p>
      <w:pPr>
        <w:pStyle w:val="Heading1"/>
        <w:spacing w:after="200" w:before="360"/>
      </w:pPr>
      <w:r>
        <w:rPr>
          <w:rFonts w:ascii="Georgia" w:cs="Georgia" w:eastAsia="Georgia" w:hAnsi="Georgia"/>
          <w:b/>
          <w:bCs/>
          <w:color w:val="16233D"/>
          <w:sz w:val="32"/>
          <w:szCs w:val="32"/>
        </w:rPr>
        <w:t xml:space="preserve">7. Modèle économique</w:t>
      </w:r>
    </w:p>
    <w:p>
      <w:pPr>
        <w:spacing w:after="160" w:line="276"/>
      </w:pPr>
      <w:r>
        <w:rPr>
          <w:rFonts w:ascii="Calibri" w:cs="Calibri" w:eastAsia="Calibri" w:hAnsi="Calibri"/>
          <w:color w:val="1A1A1A"/>
          <w:sz w:val="21"/>
          <w:szCs w:val="21"/>
        </w:rPr>
        <w:t xml:space="preserve">Quatre sources de revenus sont envisagées, activées dans cet ordre :</w:t>
      </w:r>
    </w:p>
    <w:p>
      <w:pPr>
        <w:spacing w:after="80"/>
      </w:pPr>
      <w:r>
        <w:t xml:space="preserve"/>
      </w:r>
    </w:p>
    <w:tbl>
      <w:tblPr>
        <w:tblW w:type="dxa" w:w="9360"/>
        <w:tblBorders>
          <w:top w:val="single" w:color="D9D2C6" w:sz="2"/>
          <w:left w:val="single" w:color="D9D2C6" w:sz="2"/>
          <w:bottom w:val="single" w:color="D9D2C6" w:sz="2"/>
          <w:right w:val="single" w:color="D9D2C6" w:sz="2"/>
          <w:insideH w:val="single" w:color="E6DDD0" w:sz="1"/>
          <w:insideV w:val="single" w:color="E6DDD0" w:sz="1"/>
        </w:tblBorders>
      </w:tblPr>
      <w:tblGrid>
        <w:gridCol w:w="2700"/>
        <w:gridCol w:w="900"/>
        <w:gridCol w:w="2300"/>
        <w:gridCol w:w="3460"/>
      </w:tblGrid>
      <w:tr>
        <w:trPr>
          <w:tblHeader/>
        </w:trPr>
        <w:tc>
          <w:tcPr>
            <w:tcW w:type="dxa" w:w="27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Source</w:t>
            </w:r>
          </w:p>
        </w:tc>
        <w:tc>
          <w:tcPr>
            <w:tcW w:type="dxa" w:w="9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Étape</w:t>
            </w:r>
          </w:p>
        </w:tc>
        <w:tc>
          <w:tcPr>
            <w:tcW w:type="dxa" w:w="23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Client</w:t>
            </w:r>
          </w:p>
        </w:tc>
        <w:tc>
          <w:tcPr>
            <w:tcW w:type="dxa" w:w="346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Principe</w:t>
            </w:r>
          </w:p>
        </w:tc>
      </w:tr>
      <w:tr>
        <w:tc>
          <w:tcPr>
            <w:tcW w:type="dxa" w:w="27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Contacts vendeurs qualifiés</w:t>
            </w:r>
          </w:p>
        </w:tc>
        <w:tc>
          <w:tcPr>
            <w:tcW w:type="dxa" w:w="9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2</w:t>
            </w:r>
          </w:p>
        </w:tc>
        <w:tc>
          <w:tcPr>
            <w:tcW w:type="dxa" w:w="23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Agences spécialisées</w:t>
            </w:r>
          </w:p>
        </w:tc>
        <w:tc>
          <w:tcPr>
            <w:tcW w:type="dxa" w:w="34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Le produit le plus rare du marché</w:t>
            </w:r>
          </w:p>
        </w:tc>
      </w:tr>
      <w:tr>
        <w:tc>
          <w:tcPr>
            <w:tcW w:type="dxa" w:w="27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Abonnements de diffusion</w:t>
            </w:r>
          </w:p>
        </w:tc>
        <w:tc>
          <w:tcPr>
            <w:tcW w:type="dxa" w:w="9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3</w:t>
            </w:r>
          </w:p>
        </w:tc>
        <w:tc>
          <w:tcPr>
            <w:tcW w:type="dxa" w:w="23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Agences, mandataires</w:t>
            </w:r>
          </w:p>
        </w:tc>
        <w:tc>
          <w:tcPr>
            <w:tcW w:type="dxa" w:w="34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Diffusion des mandats</w:t>
            </w:r>
          </w:p>
        </w:tc>
      </w:tr>
      <w:tr>
        <w:tc>
          <w:tcPr>
            <w:tcW w:type="dxa" w:w="27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Options de visibilité</w:t>
            </w:r>
          </w:p>
        </w:tc>
        <w:tc>
          <w:tcPr>
            <w:tcW w:type="dxa" w:w="9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ultérieur</w:t>
            </w:r>
          </w:p>
        </w:tc>
        <w:tc>
          <w:tcPr>
            <w:tcW w:type="dxa" w:w="23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Annonceurs</w:t>
            </w:r>
          </w:p>
        </w:tc>
        <w:tc>
          <w:tcPr>
            <w:tcW w:type="dxa" w:w="34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Mise en avant des annonces</w:t>
            </w:r>
          </w:p>
        </w:tc>
      </w:tr>
      <w:tr>
        <w:tc>
          <w:tcPr>
            <w:tcW w:type="dxa" w:w="27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Partenariats</w:t>
            </w:r>
          </w:p>
        </w:tc>
        <w:tc>
          <w:tcPr>
            <w:tcW w:type="dxa" w:w="9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ultérieur</w:t>
            </w:r>
          </w:p>
        </w:tc>
        <w:tc>
          <w:tcPr>
            <w:tcW w:type="dxa" w:w="23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Banques, experts</w:t>
            </w:r>
          </w:p>
        </w:tc>
        <w:tc>
          <w:tcPr>
            <w:tcW w:type="dxa" w:w="34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Financement et conseil aux repreneurs</w:t>
            </w:r>
          </w:p>
        </w:tc>
      </w:tr>
    </w:tbl>
    <w:p>
      <w:pPr>
        <w:spacing w:after="120"/>
      </w:pPr>
      <w:r>
        <w:t xml:space="preserve"/>
      </w:r>
    </w:p>
    <w:p>
      <w:pPr>
        <w:spacing w:after="160" w:line="276"/>
      </w:pPr>
      <w:r>
        <w:rPr>
          <w:rFonts w:ascii="Calibri" w:cs="Calibri" w:eastAsia="Calibri" w:hAnsi="Calibri"/>
          <w:color w:val="1A1A1A"/>
          <w:sz w:val="21"/>
          <w:szCs w:val="21"/>
        </w:rPr>
        <w:t xml:space="preserve">L'hypothèse de travail situe un contact vendeur qualifié entre 150 et 400 euros l'unité, à rapporter aux honoraires de plusieurs dizaines de milliers d'euros que représente un mandat hôtelier pour une agence. Une variante par abonnement territorial est également envisagée.</w:t>
      </w:r>
    </w:p>
    <w:p>
      <w:pPr>
        <w:spacing w:after="160" w:line="276"/>
      </w:pPr>
      <w:r>
        <w:rPr>
          <w:rFonts w:ascii="Calibri" w:cs="Calibri" w:eastAsia="Calibri" w:hAnsi="Calibri"/>
          <w:color w:val="1A1A1A"/>
          <w:sz w:val="21"/>
          <w:szCs w:val="21"/>
        </w:rPr>
        <w:t xml:space="preserve">Les jalons visés sont volontairement modestes : premières ventes de contacts au troisième mois de l'étape 2, autour de 1 000 euros mensuels avec trois à cinq agences actives ; puis 2 000 à 5 000 euros de revenu récurrent mensuel avec dix à quinze agences abonnées, seuil de viabilité pour un porteur seul.</w:t>
      </w:r>
    </w:p>
    <w:p>
      <w:pPr>
        <w:spacing w:after="8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color w:val="4D463D"/>
                <w:sz w:val="20"/>
                <w:szCs w:val="20"/>
              </w:rPr>
              <w:t xml:space="preserve">Un point de vigilance domine tous les autres : la qualité des contacts. Si les agences ne convertissent pas, elles ne renouvellent pas, et le modèle s'effondre. La qualification — intention déclarée, horizon, coordonnées vérifiées, consentement — est donc le cœur du produit, pas un détail de formulaire.</w:t>
            </w:r>
          </w:p>
        </w:tc>
      </w:tr>
    </w:tbl>
    <w:p>
      <w:r>
        <w:br w:type="page"/>
      </w:r>
    </w:p>
    <w:p>
      <w:pPr>
        <w:pStyle w:val="Heading1"/>
        <w:spacing w:after="200" w:before="360"/>
      </w:pPr>
      <w:r>
        <w:rPr>
          <w:rFonts w:ascii="Georgia" w:cs="Georgia" w:eastAsia="Georgia" w:hAnsi="Georgia"/>
          <w:b/>
          <w:bCs/>
          <w:color w:val="16233D"/>
          <w:sz w:val="32"/>
          <w:szCs w:val="32"/>
        </w:rPr>
        <w:t xml:space="preserve">8. Comment c'est construit</w:t>
      </w:r>
    </w:p>
    <w:p>
      <w:pPr>
        <w:spacing w:after="160" w:line="276"/>
      </w:pPr>
      <w:r>
        <w:rPr>
          <w:rFonts w:ascii="Calibri" w:cs="Calibri" w:eastAsia="Calibri" w:hAnsi="Calibri"/>
          <w:color w:val="1A1A1A"/>
          <w:sz w:val="21"/>
          <w:szCs w:val="21"/>
        </w:rPr>
        <w:t xml:space="preserve">Cette section s'adresse à un lecteur non technique ; elle vise à donner une idée juste des choix faits et de leur solidité.</w:t>
      </w:r>
    </w:p>
    <w:p>
      <w:pPr>
        <w:pStyle w:val="Heading2"/>
        <w:spacing w:after="140" w:before="280"/>
      </w:pPr>
      <w:r>
        <w:rPr>
          <w:rFonts w:ascii="Georgia" w:cs="Georgia" w:eastAsia="Georgia" w:hAnsi="Georgia"/>
          <w:b/>
          <w:bCs/>
          <w:color w:val="2C4470"/>
          <w:sz w:val="25"/>
          <w:szCs w:val="25"/>
        </w:rPr>
        <w:t xml:space="preserve">8.1 Une architecture délibérément simple</w:t>
      </w:r>
    </w:p>
    <w:p>
      <w:pPr>
        <w:spacing w:after="160" w:line="276"/>
      </w:pPr>
      <w:r>
        <w:rPr>
          <w:rFonts w:ascii="Calibri" w:cs="Calibri" w:eastAsia="Calibri" w:hAnsi="Calibri"/>
          <w:color w:val="1A1A1A"/>
          <w:sz w:val="21"/>
          <w:szCs w:val="21"/>
        </w:rPr>
        <w:t xml:space="preserve">L'architecture cible du projet — celle qui portera la place de marché complète — est plus riche que ce qui est déployé aujourd'hui. C'est volontaire : tant que la demande n'est pas vérifiée, construire l'architecture définitive serait investir avant de savoir. L'étape actuelle utilise donc une pile réduite, qui fait exactement ce qui est nécessaire, et dont la migration vers l'architecture cible est prévue sans rupture du référencement acquis.</w:t>
      </w:r>
    </w:p>
    <w:p>
      <w:pPr>
        <w:spacing w:after="160" w:line="276"/>
      </w:pPr>
      <w:r>
        <w:rPr>
          <w:rFonts w:ascii="Calibri" w:cs="Calibri" w:eastAsia="Calibri" w:hAnsi="Calibri"/>
          <w:color w:val="1A1A1A"/>
          <w:sz w:val="21"/>
          <w:szCs w:val="21"/>
        </w:rPr>
        <w:t xml:space="preserve">Le site est écrit avec des technologies standard et largement répandues, ce qui garantit qu'un autre développeur pourra reprendre le travail. Les pages destinées au référencement sont pré-calculées, ce qui les rend très rapides — un critère que les moteurs de recherche prennent en compte.</w:t>
      </w:r>
    </w:p>
    <w:p>
      <w:pPr>
        <w:pStyle w:val="Heading2"/>
        <w:spacing w:after="140" w:before="280"/>
      </w:pPr>
      <w:r>
        <w:rPr>
          <w:rFonts w:ascii="Georgia" w:cs="Georgia" w:eastAsia="Georgia" w:hAnsi="Georgia"/>
          <w:b/>
          <w:bCs/>
          <w:color w:val="2C4470"/>
          <w:sz w:val="25"/>
          <w:szCs w:val="25"/>
        </w:rPr>
        <w:t xml:space="preserve">8.2 Hébergement et coûts</w:t>
      </w:r>
    </w:p>
    <w:p>
      <w:pPr>
        <w:spacing w:after="160" w:line="276"/>
      </w:pPr>
      <w:r>
        <w:rPr>
          <w:rFonts w:ascii="Calibri" w:cs="Calibri" w:eastAsia="Calibri" w:hAnsi="Calibri"/>
          <w:color w:val="1A1A1A"/>
          <w:sz w:val="21"/>
          <w:szCs w:val="21"/>
        </w:rPr>
        <w:t xml:space="preserve">L'hébergement retenu est une machine virtuelle gratuite et sans limite de durée, chez un fournisseur de cloud majeur. Ce choix a été fait sous contrainte explicite de dépense nulle à ce stade, et parce que c'est la seule offre gratuite qui reste allumée en permanence — condition nécessaire pour que les moteurs de recherche indexent le site correctement.</w:t>
      </w:r>
    </w:p>
    <w:p>
      <w:pPr>
        <w:spacing w:after="160" w:line="276"/>
      </w:pPr>
      <w:r>
        <w:rPr>
          <w:rFonts w:ascii="Calibri" w:cs="Calibri" w:eastAsia="Calibri" w:hAnsi="Calibri"/>
          <w:color w:val="1A1A1A"/>
          <w:sz w:val="21"/>
          <w:szCs w:val="21"/>
        </w:rPr>
        <w:t xml:space="preserve">La seule dépense réellement nécessaire avant la mise en ligne est le nom de domaine, de l'ordre de 10 à 15 euros par an.</w:t>
      </w:r>
    </w:p>
    <w:p>
      <w:pPr>
        <w:pStyle w:val="Heading2"/>
        <w:spacing w:after="140" w:before="280"/>
      </w:pPr>
      <w:r>
        <w:rPr>
          <w:rFonts w:ascii="Georgia" w:cs="Georgia" w:eastAsia="Georgia" w:hAnsi="Georgia"/>
          <w:b/>
          <w:bCs/>
          <w:color w:val="2C4470"/>
          <w:sz w:val="25"/>
          <w:szCs w:val="25"/>
        </w:rPr>
        <w:t xml:space="preserve">8.3 Automatisation et vérifications</w:t>
      </w:r>
    </w:p>
    <w:p>
      <w:pPr>
        <w:spacing w:after="160" w:line="276"/>
      </w:pPr>
      <w:r>
        <w:rPr>
          <w:rFonts w:ascii="Calibri" w:cs="Calibri" w:eastAsia="Calibri" w:hAnsi="Calibri"/>
          <w:color w:val="1A1A1A"/>
          <w:sz w:val="21"/>
          <w:szCs w:val="21"/>
        </w:rPr>
        <w:t xml:space="preserve">À chaque modification du code, une chaîne automatisée vérifie la qualité, exécute les tests, puis construit la version destinée au serveur. Le déploiement se fait ensuite par une commande unique, qui met à jour l'application, applique les évolutions de la base de données et contrôle que le site répond correctement — avec possibilité de revenir en arrière si nécessaire.</w:t>
      </w:r>
    </w:p>
    <w:p>
      <w:pPr>
        <w:spacing w:after="160" w:line="276"/>
      </w:pPr>
      <w:r>
        <w:rPr>
          <w:rFonts w:ascii="Calibri" w:cs="Calibri" w:eastAsia="Calibri" w:hAnsi="Calibri"/>
          <w:color w:val="1A1A1A"/>
          <w:sz w:val="21"/>
          <w:szCs w:val="21"/>
        </w:rPr>
        <w:t xml:space="preserve">La pile complète a été montée et testée de bout en bout avant toute mise en ligne : dix-sept vérifications fonctionnelles portant sur le parcours d'estimation, l'espace d'administration, l'export des données, la sécurité des échanges et le référencement technique. Trois défauts réels ont été trouvés et corrigés à cette occasion — chacun aurait empêché le déploiement de fonctionner.</w:t>
      </w:r>
    </w:p>
    <w:p>
      <w:pPr>
        <w:pStyle w:val="Heading2"/>
        <w:spacing w:after="140" w:before="280"/>
      </w:pPr>
      <w:r>
        <w:rPr>
          <w:rFonts w:ascii="Georgia" w:cs="Georgia" w:eastAsia="Georgia" w:hAnsi="Georgia"/>
          <w:b/>
          <w:bCs/>
          <w:color w:val="2C4470"/>
          <w:sz w:val="25"/>
          <w:szCs w:val="25"/>
        </w:rPr>
        <w:t xml:space="preserve">8.4 Sauvegardes et surveillance</w:t>
      </w:r>
    </w:p>
    <w:p>
      <w:pPr>
        <w:spacing w:after="160" w:line="276"/>
      </w:pPr>
      <w:r>
        <w:rPr>
          <w:rFonts w:ascii="Calibri" w:cs="Calibri" w:eastAsia="Calibri" w:hAnsi="Calibri"/>
          <w:color w:val="1A1A1A"/>
          <w:sz w:val="21"/>
          <w:szCs w:val="21"/>
        </w:rPr>
        <w:t xml:space="preserve">Le dispositif prévu comprend une sauvegarde quotidienne de la base, dont la restauration doit être testée — une sauvegarde jamais restaurée n'existe pas —, une surveillance automatique de la disponibilité du site, et une copie des sauvegardes hors du serveur au moins une fois par semaine. Ces éléments font partie du déploiement, et non d'une phase ultérieure.</w:t>
      </w:r>
    </w:p>
    <w:p>
      <w:r>
        <w:br w:type="page"/>
      </w:r>
    </w:p>
    <w:p>
      <w:pPr>
        <w:pStyle w:val="Heading1"/>
        <w:spacing w:after="200" w:before="360"/>
      </w:pPr>
      <w:r>
        <w:rPr>
          <w:rFonts w:ascii="Georgia" w:cs="Georgia" w:eastAsia="Georgia" w:hAnsi="Georgia"/>
          <w:b/>
          <w:bCs/>
          <w:color w:val="16233D"/>
          <w:sz w:val="32"/>
          <w:szCs w:val="32"/>
        </w:rPr>
        <w:t xml:space="preserve">9. Où en est le projet</w:t>
      </w:r>
    </w:p>
    <w:p>
      <w:pPr>
        <w:spacing w:after="160" w:line="276"/>
      </w:pPr>
      <w:r>
        <w:rPr>
          <w:rFonts w:ascii="Calibri" w:cs="Calibri" w:eastAsia="Calibri" w:hAnsi="Calibri"/>
          <w:color w:val="1A1A1A"/>
          <w:sz w:val="21"/>
          <w:szCs w:val="21"/>
        </w:rPr>
        <w:t xml:space="preserve">Le développement de l'étape de validation est terminé et vérifié. Le site n'est pas encore accessible au public.</w:t>
      </w:r>
    </w:p>
    <w:p>
      <w:pPr>
        <w:spacing w:after="80"/>
      </w:pPr>
      <w:r>
        <w:t xml:space="preserve"/>
      </w:r>
    </w:p>
    <w:tbl>
      <w:tblPr>
        <w:tblW w:type="dxa" w:w="9360"/>
        <w:tblBorders>
          <w:top w:val="single" w:color="D9D2C6" w:sz="2"/>
          <w:left w:val="single" w:color="D9D2C6" w:sz="2"/>
          <w:bottom w:val="single" w:color="D9D2C6" w:sz="2"/>
          <w:right w:val="single" w:color="D9D2C6" w:sz="2"/>
          <w:insideH w:val="single" w:color="E6DDD0" w:sz="1"/>
          <w:insideV w:val="single" w:color="E6DDD0" w:sz="1"/>
        </w:tblBorders>
      </w:tblPr>
      <w:tblGrid>
        <w:gridCol w:w="5600"/>
        <w:gridCol w:w="3760"/>
      </w:tblGrid>
      <w:tr>
        <w:trPr>
          <w:tblHeader/>
        </w:trPr>
        <w:tc>
          <w:tcPr>
            <w:tcW w:type="dxa" w:w="56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Élément</w:t>
            </w:r>
          </w:p>
        </w:tc>
        <w:tc>
          <w:tcPr>
            <w:tcW w:type="dxa" w:w="376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État</w:t>
            </w:r>
          </w:p>
        </w:tc>
      </w:tr>
      <w:tr>
        <w:tc>
          <w:tcPr>
            <w:tcW w:type="dxa" w:w="5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Moteur d'estimation et parcours complet</w:t>
            </w:r>
          </w:p>
        </w:tc>
        <w:tc>
          <w:tcPr>
            <w:tcW w:type="dxa" w:w="3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Terminé et testé</w:t>
            </w:r>
          </w:p>
        </w:tc>
      </w:tr>
      <w:tr>
        <w:tc>
          <w:tcPr>
            <w:tcW w:type="dxa" w:w="5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Environ 110 pages de référencement</w:t>
            </w:r>
          </w:p>
        </w:tc>
        <w:tc>
          <w:tcPr>
            <w:tcW w:type="dxa" w:w="3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Terminé</w:t>
            </w:r>
          </w:p>
        </w:tc>
      </w:tr>
      <w:tr>
        <w:tc>
          <w:tcPr>
            <w:tcW w:type="dxa" w:w="5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Trois guides de fond</w:t>
            </w:r>
          </w:p>
        </w:tc>
        <w:tc>
          <w:tcPr>
            <w:tcW w:type="dxa" w:w="3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Terminé</w:t>
            </w:r>
          </w:p>
        </w:tc>
      </w:tr>
      <w:tr>
        <w:tc>
          <w:tcPr>
            <w:tcW w:type="dxa" w:w="5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Tableau de bord et export des contacts</w:t>
            </w:r>
          </w:p>
        </w:tc>
        <w:tc>
          <w:tcPr>
            <w:tcW w:type="dxa" w:w="3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Terminé</w:t>
            </w:r>
          </w:p>
        </w:tc>
      </w:tr>
      <w:tr>
        <w:tc>
          <w:tcPr>
            <w:tcW w:type="dxa" w:w="5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Chaîne d'automatisation et de déploiement</w:t>
            </w:r>
          </w:p>
        </w:tc>
        <w:tc>
          <w:tcPr>
            <w:tcW w:type="dxa" w:w="3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Terminé et testé</w:t>
            </w:r>
          </w:p>
        </w:tc>
      </w:tr>
      <w:tr>
        <w:tc>
          <w:tcPr>
            <w:tcW w:type="dxa" w:w="5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Serveur de production</w:t>
            </w:r>
          </w:p>
        </w:tc>
        <w:tc>
          <w:tcPr>
            <w:tcW w:type="dxa" w:w="3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À créer</w:t>
            </w:r>
          </w:p>
        </w:tc>
      </w:tr>
      <w:tr>
        <w:tc>
          <w:tcPr>
            <w:tcW w:type="dxa" w:w="5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Nom de domaine</w:t>
            </w:r>
          </w:p>
        </w:tc>
        <w:tc>
          <w:tcPr>
            <w:tcW w:type="dxa" w:w="3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En attente du choix de nom</w:t>
            </w:r>
          </w:p>
        </w:tc>
      </w:tr>
      <w:tr>
        <w:tc>
          <w:tcPr>
            <w:tcW w:type="dxa" w:w="5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Envoi réel des rapports par courriel</w:t>
            </w:r>
          </w:p>
        </w:tc>
        <w:tc>
          <w:tcPr>
            <w:tcW w:type="dxa" w:w="3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En attente des identifiants d'envoi</w:t>
            </w:r>
          </w:p>
        </w:tc>
      </w:tr>
      <w:tr>
        <w:tc>
          <w:tcPr>
            <w:tcW w:type="dxa" w:w="5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Pages légales</w:t>
            </w:r>
          </w:p>
        </w:tc>
        <w:tc>
          <w:tcPr>
            <w:tcW w:type="dxa" w:w="3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Provisoires, à faire rédiger</w:t>
            </w:r>
          </w:p>
        </w:tc>
      </w:tr>
    </w:tbl>
    <w:p>
      <w:pPr>
        <w:pStyle w:val="Heading1"/>
        <w:spacing w:after="200" w:before="360"/>
      </w:pPr>
      <w:r>
        <w:rPr>
          <w:rFonts w:ascii="Georgia" w:cs="Georgia" w:eastAsia="Georgia" w:hAnsi="Georgia"/>
          <w:b/>
          <w:bCs/>
          <w:color w:val="16233D"/>
          <w:sz w:val="32"/>
          <w:szCs w:val="32"/>
        </w:rPr>
        <w:t xml:space="preserve">10. Décisions à prendre</w:t>
      </w:r>
    </w:p>
    <w:p>
      <w:pPr>
        <w:spacing w:after="160" w:line="276"/>
      </w:pPr>
      <w:r>
        <w:rPr>
          <w:rFonts w:ascii="Calibri" w:cs="Calibri" w:eastAsia="Calibri" w:hAnsi="Calibri"/>
          <w:color w:val="1A1A1A"/>
          <w:sz w:val="21"/>
          <w:szCs w:val="21"/>
        </w:rPr>
        <w:t xml:space="preserve">Deux décisions conditionnent la mise en ligne. Elles n'appartiennent pas au développement mais au porteur du projet.</w:t>
      </w:r>
    </w:p>
    <w:p>
      <w:pPr>
        <w:spacing w:after="80"/>
      </w:pPr>
      <w:r>
        <w:t xml:space="preserve"/>
      </w:r>
    </w:p>
    <w:p>
      <w:pPr>
        <w:pStyle w:val="Heading3"/>
        <w:spacing w:after="110" w:before="220"/>
      </w:pPr>
      <w:r>
        <w:rPr>
          <w:rFonts w:ascii="Calibri" w:cs="Calibri" w:eastAsia="Calibri" w:hAnsi="Calibri"/>
          <w:b/>
          <w:bCs/>
          <w:color w:val="16233D"/>
          <w:sz w:val="22"/>
          <w:szCs w:val="22"/>
        </w:rPr>
        <w:t xml:space="preserve">Le nom de la marque</w:t>
      </w:r>
    </w:p>
    <w:p>
      <w:pPr>
        <w:spacing w:after="160" w:line="276"/>
      </w:pPr>
      <w:r>
        <w:rPr>
          <w:rFonts w:ascii="Calibri" w:cs="Calibri" w:eastAsia="Calibri" w:hAnsi="Calibri"/>
          <w:color w:val="1A1A1A"/>
          <w:sz w:val="21"/>
          <w:szCs w:val="21"/>
        </w:rPr>
        <w:t xml:space="preserve">« HotelMarket » n'est qu'un nom de code interne, probablement ni déposable ni distinctif. Le choix définitif suppose une recherche d'antériorité auprès de l'INPI, la vérification de la disponibilité des noms de domaine, et l'absence d'homonyme dans le secteur. Le code a été écrit pour que le nom soit un simple paramètre modifiable, sans reprise du développement.</w:t>
      </w:r>
    </w:p>
    <w:p>
      <w:pPr>
        <w:spacing w:after="160" w:line="276"/>
      </w:pPr>
      <w:r>
        <w:rPr>
          <w:rFonts w:ascii="Calibri" w:cs="Calibri" w:eastAsia="Calibri" w:hAnsi="Calibri"/>
          <w:i/>
          <w:iCs/>
          <w:color w:val="1A1A1A"/>
          <w:sz w:val="21"/>
          <w:szCs w:val="21"/>
        </w:rPr>
        <w:t xml:space="preserve">Cette décision bloque l'achat du domaine, qui bloque à son tour l'obtention du certificat de sécurité et, surtout, le démarrage de la mesure du référencement. Lancer sur une adresse provisoire puis migrer reviendrait à remettre le compteur du référencement à zéro.</w:t>
      </w:r>
    </w:p>
    <w:p>
      <w:pPr>
        <w:spacing w:after="80"/>
      </w:pPr>
      <w:r>
        <w:t xml:space="preserve"/>
      </w:r>
    </w:p>
    <w:p>
      <w:pPr>
        <w:pStyle w:val="Heading3"/>
        <w:spacing w:after="110" w:before="220"/>
      </w:pPr>
      <w:r>
        <w:rPr>
          <w:rFonts w:ascii="Calibri" w:cs="Calibri" w:eastAsia="Calibri" w:hAnsi="Calibri"/>
          <w:b/>
          <w:bCs/>
          <w:color w:val="16233D"/>
          <w:sz w:val="22"/>
          <w:szCs w:val="22"/>
        </w:rPr>
        <w:t xml:space="preserve">Le statut juridique</w:t>
      </w:r>
    </w:p>
    <w:p>
      <w:pPr>
        <w:spacing w:after="160" w:line="276"/>
      </w:pPr>
      <w:r>
        <w:rPr>
          <w:rFonts w:ascii="Calibri" w:cs="Calibri" w:eastAsia="Calibri" w:hAnsi="Calibri"/>
          <w:color w:val="1A1A1A"/>
          <w:sz w:val="21"/>
          <w:szCs w:val="21"/>
        </w:rPr>
        <w:t xml:space="preserve">Micro-entreprise, société par actions simplifiée ou autre forme : ce choix détermine la facturation, les conditions de vente et l'assurance de responsabilité professionnelle. Il doit être arrêté avant le premier euro encaissé, donc avant l'étape de monétisation — mais il peut attendre le résultat du point de décision.</w:t>
      </w:r>
    </w:p>
    <w:p>
      <w:pPr>
        <w:spacing w:after="16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b/>
                <w:bCs/>
                <w:color w:val="4D463D"/>
                <w:sz w:val="20"/>
                <w:szCs w:val="20"/>
              </w:rPr>
              <w:t xml:space="preserve">En résumé : </w:t>
            </w:r>
            <w:r>
              <w:rPr>
                <w:rFonts w:ascii="Calibri" w:cs="Calibri" w:eastAsia="Calibri" w:hAnsi="Calibri"/>
                <w:color w:val="4D463D"/>
                <w:sz w:val="20"/>
                <w:szCs w:val="20"/>
              </w:rPr>
              <w:t xml:space="preserve">le produit est prêt, l'hébergement est gratuit et la chaîne technique est vérifiée. Ce qui manque pour lancer tient en trois éléments — un nom, un nom de domaine, et un service d'envoi de courriels. Le reste est du travail commercial et éditorial, qui ne relève pas du développement.</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072"/>
        <w:sz w:val="16"/>
        <w:szCs w:val="16"/>
      </w:rPr>
      <w:t xml:space="preserve">HotelMarket — Présentation du projet — page </w:t>
    </w:r>
    <w:r>
      <w:rPr>
        <w:rFonts w:ascii="Calibri" w:cs="Calibri" w:eastAsia="Calibri" w:hAnsi="Calibri"/>
        <w:color w:val="8A80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du projet</dc:title>
  <dc:creator>HotelMarket</dc:creator>
  <dc:description>Document de présentation du projet de plateforme de valorisation et de transmission hôtelière</dc:description>
  <cp:lastModifiedBy>Un-named</cp:lastModifiedBy>
  <cp:revision>1</cp:revision>
  <dcterms:created xsi:type="dcterms:W3CDTF">2026-07-28T12:33:35.088Z</dcterms:created>
  <dcterms:modified xsi:type="dcterms:W3CDTF">2026-07-28T12:33:35.089Z</dcterms:modified>
</cp:coreProperties>
</file>

<file path=docProps/custom.xml><?xml version="1.0" encoding="utf-8"?>
<Properties xmlns="http://schemas.openxmlformats.org/officeDocument/2006/custom-properties" xmlns:vt="http://schemas.openxmlformats.org/officeDocument/2006/docPropsVTypes"/>
</file>